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E1552">
      <w:pPr>
        <w:jc w:val="both"/>
        <w:rPr>
          <w:lang w:val="en-GB"/>
        </w:rPr>
      </w:pPr>
      <w:r>
        <w:rPr>
          <w:noProof/>
          <w:lang w:val="en-US" w:eastAsia="en-US"/>
        </w:rPr>
        <w:drawing>
          <wp:inline distT="0" distB="0" distL="0" distR="0">
            <wp:extent cx="5905500" cy="1647825"/>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7" cstate="print"/>
                    <a:srcRect/>
                    <a:stretch>
                      <a:fillRect/>
                    </a:stretch>
                  </pic:blipFill>
                  <pic:spPr bwMode="auto">
                    <a:xfrm>
                      <a:off x="0" y="0"/>
                      <a:ext cx="5905500" cy="1647825"/>
                    </a:xfrm>
                    <a:prstGeom prst="rect">
                      <a:avLst/>
                    </a:prstGeom>
                    <a:noFill/>
                    <a:ln w="9525">
                      <a:noFill/>
                      <a:miter lim="800000"/>
                      <a:headEnd/>
                      <a:tailEnd/>
                    </a:ln>
                  </pic:spPr>
                </pic:pic>
              </a:graphicData>
            </a:graphic>
          </wp:inline>
        </w:drawing>
      </w:r>
    </w:p>
    <w:p w:rsidR="00000000" w:rsidRDefault="00147B51">
      <w:pPr>
        <w:jc w:val="center"/>
        <w:rPr>
          <w:b/>
          <w:bCs/>
          <w:lang w:val="en-GB"/>
        </w:rPr>
      </w:pPr>
    </w:p>
    <w:p w:rsidR="00000000" w:rsidRDefault="00147B51">
      <w:pPr>
        <w:jc w:val="center"/>
        <w:rPr>
          <w:b/>
          <w:bCs/>
          <w:lang w:val="en-GB"/>
        </w:rPr>
      </w:pPr>
      <w:r>
        <w:rPr>
          <w:b/>
          <w:bCs/>
          <w:lang w:val="en-GB"/>
        </w:rPr>
        <w:t>DECISION</w:t>
      </w:r>
    </w:p>
    <w:p w:rsidR="00000000" w:rsidRDefault="00147B51">
      <w:pPr>
        <w:autoSpaceDE w:val="0"/>
        <w:autoSpaceDN w:val="0"/>
        <w:adjustRightInd w:val="0"/>
        <w:ind w:left="720" w:firstLine="720"/>
        <w:jc w:val="both"/>
        <w:rPr>
          <w:b/>
          <w:bCs/>
          <w:lang w:val="en-GB"/>
        </w:rPr>
      </w:pPr>
    </w:p>
    <w:p w:rsidR="00000000" w:rsidRDefault="00147B51">
      <w:pPr>
        <w:autoSpaceDE w:val="0"/>
        <w:autoSpaceDN w:val="0"/>
        <w:adjustRightInd w:val="0"/>
        <w:jc w:val="both"/>
        <w:rPr>
          <w:b/>
          <w:bCs/>
          <w:lang w:val="en-GB"/>
        </w:rPr>
      </w:pPr>
      <w:r>
        <w:rPr>
          <w:b/>
          <w:bCs/>
          <w:lang w:val="en-GB"/>
        </w:rPr>
        <w:t>Date of adoption: 17 August 2012</w:t>
      </w:r>
    </w:p>
    <w:p w:rsidR="00000000" w:rsidRDefault="00147B51">
      <w:pPr>
        <w:autoSpaceDE w:val="0"/>
        <w:autoSpaceDN w:val="0"/>
        <w:adjustRightInd w:val="0"/>
        <w:jc w:val="both"/>
        <w:rPr>
          <w:b/>
          <w:bCs/>
          <w:lang w:val="en-GB"/>
        </w:rPr>
      </w:pPr>
    </w:p>
    <w:p w:rsidR="00000000" w:rsidRDefault="00147B51">
      <w:pPr>
        <w:autoSpaceDE w:val="0"/>
        <w:autoSpaceDN w:val="0"/>
        <w:adjustRightInd w:val="0"/>
        <w:jc w:val="both"/>
        <w:rPr>
          <w:b/>
          <w:bCs/>
          <w:lang w:val="en-GB"/>
        </w:rPr>
      </w:pPr>
      <w:r>
        <w:rPr>
          <w:b/>
          <w:bCs/>
          <w:lang w:val="en-GB"/>
        </w:rPr>
        <w:t xml:space="preserve">Cases </w:t>
      </w:r>
      <w:proofErr w:type="spellStart"/>
      <w:r>
        <w:rPr>
          <w:b/>
          <w:bCs/>
          <w:lang w:val="en-GB"/>
        </w:rPr>
        <w:t>Nos</w:t>
      </w:r>
      <w:proofErr w:type="spellEnd"/>
      <w:r>
        <w:rPr>
          <w:b/>
          <w:bCs/>
          <w:lang w:val="en-GB"/>
        </w:rPr>
        <w:t xml:space="preserve"> 68/09, 83/09, 235/09, 236/09 and 256/09</w:t>
      </w:r>
    </w:p>
    <w:p w:rsidR="00000000" w:rsidRDefault="00147B51">
      <w:pPr>
        <w:jc w:val="both"/>
        <w:rPr>
          <w:rFonts w:ascii="Arial" w:hAnsi="Arial" w:cs="Arial"/>
          <w:color w:val="000000"/>
          <w:lang w:val="en-GB"/>
        </w:rPr>
      </w:pPr>
    </w:p>
    <w:p w:rsidR="00000000" w:rsidRDefault="00147B51">
      <w:pPr>
        <w:autoSpaceDE w:val="0"/>
        <w:autoSpaceDN w:val="0"/>
        <w:adjustRightInd w:val="0"/>
        <w:jc w:val="both"/>
        <w:rPr>
          <w:b/>
          <w:lang w:val="en-GB"/>
        </w:rPr>
      </w:pPr>
      <w:proofErr w:type="spellStart"/>
      <w:r>
        <w:rPr>
          <w:b/>
          <w:lang w:val="en-GB"/>
        </w:rPr>
        <w:t>Budimirka</w:t>
      </w:r>
      <w:proofErr w:type="spellEnd"/>
      <w:r>
        <w:rPr>
          <w:b/>
          <w:lang w:val="en-GB"/>
        </w:rPr>
        <w:t xml:space="preserve"> MIRIĆ, </w:t>
      </w:r>
      <w:proofErr w:type="spellStart"/>
      <w:r>
        <w:rPr>
          <w:b/>
          <w:lang w:val="en-GB"/>
        </w:rPr>
        <w:t>Ljiljana</w:t>
      </w:r>
      <w:proofErr w:type="spellEnd"/>
      <w:r>
        <w:rPr>
          <w:b/>
          <w:lang w:val="en-GB"/>
        </w:rPr>
        <w:t xml:space="preserve"> STOJKOVIĆ and </w:t>
      </w:r>
      <w:proofErr w:type="spellStart"/>
      <w:r>
        <w:rPr>
          <w:b/>
          <w:lang w:val="en-GB"/>
        </w:rPr>
        <w:t>Dimitrije</w:t>
      </w:r>
      <w:proofErr w:type="spellEnd"/>
      <w:r>
        <w:rPr>
          <w:b/>
          <w:lang w:val="en-GB"/>
        </w:rPr>
        <w:t xml:space="preserve"> SPASIĆ</w:t>
      </w:r>
    </w:p>
    <w:p w:rsidR="00000000" w:rsidRDefault="00147B51">
      <w:pPr>
        <w:autoSpaceDE w:val="0"/>
        <w:autoSpaceDN w:val="0"/>
        <w:adjustRightInd w:val="0"/>
        <w:jc w:val="both"/>
        <w:rPr>
          <w:b/>
          <w:bCs/>
          <w:lang w:val="en-GB"/>
        </w:rPr>
      </w:pPr>
    </w:p>
    <w:p w:rsidR="00000000" w:rsidRDefault="00147B51">
      <w:pPr>
        <w:autoSpaceDE w:val="0"/>
        <w:autoSpaceDN w:val="0"/>
        <w:adjustRightInd w:val="0"/>
        <w:jc w:val="both"/>
        <w:rPr>
          <w:b/>
          <w:bCs/>
          <w:lang w:val="en-GB"/>
        </w:rPr>
      </w:pPr>
      <w:proofErr w:type="gramStart"/>
      <w:r>
        <w:rPr>
          <w:b/>
          <w:bCs/>
          <w:lang w:val="en-GB"/>
        </w:rPr>
        <w:t>against</w:t>
      </w:r>
      <w:proofErr w:type="gramEnd"/>
    </w:p>
    <w:p w:rsidR="00000000" w:rsidRDefault="00147B51">
      <w:pPr>
        <w:autoSpaceDE w:val="0"/>
        <w:autoSpaceDN w:val="0"/>
        <w:adjustRightInd w:val="0"/>
        <w:jc w:val="both"/>
        <w:rPr>
          <w:b/>
          <w:bCs/>
          <w:lang w:val="en-GB"/>
        </w:rPr>
      </w:pPr>
    </w:p>
    <w:p w:rsidR="00000000" w:rsidRDefault="00147B51">
      <w:pPr>
        <w:autoSpaceDE w:val="0"/>
        <w:autoSpaceDN w:val="0"/>
        <w:adjustRightInd w:val="0"/>
        <w:jc w:val="both"/>
        <w:rPr>
          <w:b/>
          <w:bCs/>
          <w:lang w:val="en-GB"/>
        </w:rPr>
      </w:pPr>
      <w:r>
        <w:rPr>
          <w:b/>
          <w:bCs/>
          <w:lang w:val="en-GB"/>
        </w:rPr>
        <w:t xml:space="preserve">UNMIK </w:t>
      </w:r>
    </w:p>
    <w:p w:rsidR="00000000" w:rsidRDefault="00147B51">
      <w:pPr>
        <w:autoSpaceDE w:val="0"/>
        <w:autoSpaceDN w:val="0"/>
        <w:adjustRightInd w:val="0"/>
        <w:jc w:val="both"/>
        <w:rPr>
          <w:b/>
          <w:bCs/>
          <w:lang w:val="en-GB"/>
        </w:rPr>
      </w:pPr>
    </w:p>
    <w:p w:rsidR="00000000" w:rsidRDefault="00147B51">
      <w:pPr>
        <w:autoSpaceDE w:val="0"/>
        <w:autoSpaceDN w:val="0"/>
        <w:adjustRightInd w:val="0"/>
        <w:jc w:val="both"/>
        <w:rPr>
          <w:b/>
          <w:bCs/>
          <w:lang w:val="en-GB"/>
        </w:rPr>
      </w:pPr>
    </w:p>
    <w:p w:rsidR="00000000" w:rsidRDefault="00147B51">
      <w:pPr>
        <w:autoSpaceDE w:val="0"/>
        <w:autoSpaceDN w:val="0"/>
        <w:adjustRightInd w:val="0"/>
        <w:jc w:val="both"/>
        <w:rPr>
          <w:lang w:val="en-GB"/>
        </w:rPr>
      </w:pPr>
      <w:r>
        <w:rPr>
          <w:lang w:val="en-GB"/>
        </w:rPr>
        <w:t>The Human Rights Advisory Panel, sitting on 17 August</w:t>
      </w:r>
      <w:r>
        <w:rPr>
          <w:b/>
          <w:bCs/>
          <w:lang w:val="en-GB"/>
        </w:rPr>
        <w:t xml:space="preserve"> </w:t>
      </w:r>
      <w:r>
        <w:rPr>
          <w:lang w:val="en-GB"/>
        </w:rPr>
        <w:t>2012,</w:t>
      </w:r>
    </w:p>
    <w:p w:rsidR="00000000" w:rsidRDefault="00147B51">
      <w:pPr>
        <w:autoSpaceDE w:val="0"/>
        <w:autoSpaceDN w:val="0"/>
        <w:adjustRightInd w:val="0"/>
        <w:jc w:val="both"/>
        <w:rPr>
          <w:lang w:val="en-GB"/>
        </w:rPr>
      </w:pPr>
      <w:proofErr w:type="gramStart"/>
      <w:r>
        <w:rPr>
          <w:lang w:val="en-GB"/>
        </w:rPr>
        <w:t>with</w:t>
      </w:r>
      <w:proofErr w:type="gramEnd"/>
      <w:r>
        <w:rPr>
          <w:lang w:val="en-GB"/>
        </w:rPr>
        <w:t xml:space="preserve"> the following mem</w:t>
      </w:r>
      <w:r>
        <w:rPr>
          <w:lang w:val="en-GB"/>
        </w:rPr>
        <w:t>bers present:</w:t>
      </w:r>
    </w:p>
    <w:p w:rsidR="00000000" w:rsidRDefault="00147B51">
      <w:pPr>
        <w:autoSpaceDE w:val="0"/>
        <w:autoSpaceDN w:val="0"/>
        <w:adjustRightInd w:val="0"/>
        <w:ind w:left="360"/>
        <w:jc w:val="both"/>
        <w:rPr>
          <w:lang w:val="en-GB"/>
        </w:rPr>
      </w:pPr>
    </w:p>
    <w:p w:rsidR="00000000" w:rsidRDefault="00147B51">
      <w:pPr>
        <w:autoSpaceDE w:val="0"/>
        <w:autoSpaceDN w:val="0"/>
        <w:adjustRightInd w:val="0"/>
        <w:jc w:val="both"/>
        <w:rPr>
          <w:lang w:val="en-GB"/>
        </w:rPr>
      </w:pPr>
      <w:r>
        <w:rPr>
          <w:lang w:val="en-GB"/>
        </w:rPr>
        <w:t>Mr Marek NOWICKI, Presiding Member</w:t>
      </w:r>
    </w:p>
    <w:p w:rsidR="00000000" w:rsidRDefault="00147B51">
      <w:pPr>
        <w:autoSpaceDE w:val="0"/>
        <w:autoSpaceDN w:val="0"/>
        <w:adjustRightInd w:val="0"/>
        <w:jc w:val="both"/>
        <w:rPr>
          <w:lang w:val="en-GB"/>
        </w:rPr>
      </w:pPr>
      <w:r>
        <w:rPr>
          <w:lang w:val="en-GB"/>
        </w:rPr>
        <w:t>Mr Paul LEMMENS</w:t>
      </w:r>
    </w:p>
    <w:p w:rsidR="00000000" w:rsidRDefault="00147B51">
      <w:pPr>
        <w:autoSpaceDE w:val="0"/>
        <w:autoSpaceDN w:val="0"/>
        <w:adjustRightInd w:val="0"/>
        <w:jc w:val="both"/>
        <w:rPr>
          <w:lang w:val="en-GB"/>
        </w:rPr>
      </w:pPr>
      <w:r>
        <w:rPr>
          <w:lang w:val="en-GB"/>
        </w:rPr>
        <w:t>Ms Christine CHINKIN</w:t>
      </w:r>
    </w:p>
    <w:p w:rsidR="00000000" w:rsidRDefault="00147B51">
      <w:pPr>
        <w:autoSpaceDE w:val="0"/>
        <w:autoSpaceDN w:val="0"/>
        <w:adjustRightInd w:val="0"/>
        <w:jc w:val="both"/>
        <w:rPr>
          <w:lang w:val="en-GB"/>
        </w:rPr>
      </w:pPr>
    </w:p>
    <w:p w:rsidR="00000000" w:rsidRDefault="00147B51">
      <w:pPr>
        <w:autoSpaceDE w:val="0"/>
        <w:autoSpaceDN w:val="0"/>
        <w:adjustRightInd w:val="0"/>
        <w:jc w:val="both"/>
        <w:rPr>
          <w:lang w:val="en-GB"/>
        </w:rPr>
      </w:pPr>
      <w:r>
        <w:rPr>
          <w:lang w:val="en-GB"/>
        </w:rPr>
        <w:t>Assisted by</w:t>
      </w:r>
    </w:p>
    <w:p w:rsidR="00000000" w:rsidRDefault="00147B51">
      <w:pPr>
        <w:tabs>
          <w:tab w:val="left" w:pos="360"/>
        </w:tabs>
        <w:autoSpaceDE w:val="0"/>
        <w:autoSpaceDN w:val="0"/>
        <w:adjustRightInd w:val="0"/>
        <w:jc w:val="both"/>
        <w:rPr>
          <w:lang w:val="en-GB"/>
        </w:rPr>
      </w:pPr>
      <w:r>
        <w:rPr>
          <w:lang w:val="en-GB"/>
        </w:rPr>
        <w:t>Mr Andrey ANTONOV, Executive Officer</w:t>
      </w:r>
    </w:p>
    <w:p w:rsidR="00000000" w:rsidRDefault="00147B51">
      <w:pPr>
        <w:autoSpaceDE w:val="0"/>
        <w:autoSpaceDN w:val="0"/>
        <w:adjustRightInd w:val="0"/>
        <w:jc w:val="both"/>
        <w:rPr>
          <w:lang w:val="en-GB"/>
        </w:rPr>
      </w:pPr>
    </w:p>
    <w:p w:rsidR="00000000" w:rsidRDefault="00147B51">
      <w:pPr>
        <w:autoSpaceDE w:val="0"/>
        <w:autoSpaceDN w:val="0"/>
        <w:adjustRightInd w:val="0"/>
        <w:jc w:val="both"/>
        <w:rPr>
          <w:lang w:val="en-GB"/>
        </w:rPr>
      </w:pPr>
      <w:r>
        <w:rPr>
          <w:lang w:val="en-GB"/>
        </w:rPr>
        <w:t xml:space="preserve">Having considered the aforementioned complaint, introduced pursuant to Section 1.2 of UNMIK Regulation No. 2006/12 of </w:t>
      </w:r>
      <w:r>
        <w:rPr>
          <w:lang w:val="en-GB"/>
        </w:rPr>
        <w:t>23 March 2006 on the Establishment of the Human Rights Advisory Panel,</w:t>
      </w:r>
    </w:p>
    <w:p w:rsidR="00000000" w:rsidRDefault="00147B51">
      <w:pPr>
        <w:autoSpaceDE w:val="0"/>
        <w:autoSpaceDN w:val="0"/>
        <w:adjustRightInd w:val="0"/>
        <w:jc w:val="both"/>
        <w:rPr>
          <w:lang w:val="en-GB"/>
        </w:rPr>
      </w:pPr>
    </w:p>
    <w:p w:rsidR="00000000" w:rsidRDefault="00147B51">
      <w:pPr>
        <w:autoSpaceDE w:val="0"/>
        <w:autoSpaceDN w:val="0"/>
        <w:adjustRightInd w:val="0"/>
        <w:jc w:val="both"/>
        <w:rPr>
          <w:lang w:val="en-GB"/>
        </w:rPr>
      </w:pPr>
      <w:r>
        <w:rPr>
          <w:lang w:val="en-GB"/>
        </w:rPr>
        <w:t>Having deliberated, decides as follows:</w:t>
      </w:r>
    </w:p>
    <w:p w:rsidR="00000000" w:rsidRDefault="00147B51">
      <w:pPr>
        <w:autoSpaceDE w:val="0"/>
        <w:autoSpaceDN w:val="0"/>
        <w:adjustRightInd w:val="0"/>
        <w:jc w:val="both"/>
        <w:rPr>
          <w:lang w:val="en-GB"/>
        </w:rPr>
      </w:pPr>
    </w:p>
    <w:p w:rsidR="00000000" w:rsidRDefault="00147B51">
      <w:pPr>
        <w:jc w:val="both"/>
        <w:rPr>
          <w:b/>
          <w:lang w:val="en-GB"/>
        </w:rPr>
      </w:pPr>
    </w:p>
    <w:p w:rsidR="00000000" w:rsidRDefault="00147B51">
      <w:pPr>
        <w:jc w:val="both"/>
        <w:rPr>
          <w:b/>
          <w:lang w:val="en-GB"/>
        </w:rPr>
      </w:pPr>
      <w:r>
        <w:rPr>
          <w:b/>
          <w:lang w:val="en-GB"/>
        </w:rPr>
        <w:t>I. PROCEEDINGS BEFORE THE PANEL</w:t>
      </w:r>
    </w:p>
    <w:p w:rsidR="00000000" w:rsidRDefault="00147B51">
      <w:pPr>
        <w:jc w:val="both"/>
        <w:rPr>
          <w:lang w:val="en-GB"/>
        </w:rPr>
      </w:pPr>
    </w:p>
    <w:p w:rsidR="00000000" w:rsidRDefault="00147B51">
      <w:pPr>
        <w:pStyle w:val="Default"/>
        <w:numPr>
          <w:ilvl w:val="0"/>
          <w:numId w:val="16"/>
        </w:numPr>
        <w:jc w:val="both"/>
        <w:rPr>
          <w:lang w:val="en-GB"/>
        </w:rPr>
      </w:pPr>
      <w:r>
        <w:rPr>
          <w:lang w:val="en-GB"/>
        </w:rPr>
        <w:t xml:space="preserve">The complaints of Ms </w:t>
      </w:r>
      <w:proofErr w:type="spellStart"/>
      <w:r>
        <w:rPr>
          <w:lang w:val="en-GB"/>
        </w:rPr>
        <w:t>Budimirka</w:t>
      </w:r>
      <w:proofErr w:type="spellEnd"/>
      <w:r>
        <w:rPr>
          <w:lang w:val="en-GB"/>
        </w:rPr>
        <w:t xml:space="preserve"> </w:t>
      </w:r>
      <w:proofErr w:type="spellStart"/>
      <w:r>
        <w:rPr>
          <w:color w:val="auto"/>
          <w:lang w:val="en-GB"/>
        </w:rPr>
        <w:t>Mirić</w:t>
      </w:r>
      <w:proofErr w:type="spellEnd"/>
      <w:r>
        <w:rPr>
          <w:lang w:val="en-GB"/>
        </w:rPr>
        <w:t xml:space="preserve"> were introduced on 3 April 2009 (case no. 68/09) and on a later date in April 2009 (case no. 256/09). The complaint of Ms </w:t>
      </w:r>
      <w:proofErr w:type="spellStart"/>
      <w:r>
        <w:rPr>
          <w:lang w:val="en-GB"/>
        </w:rPr>
        <w:t>Ljiljana</w:t>
      </w:r>
      <w:proofErr w:type="spellEnd"/>
      <w:r>
        <w:rPr>
          <w:lang w:val="en-GB"/>
        </w:rPr>
        <w:t xml:space="preserve"> </w:t>
      </w:r>
      <w:proofErr w:type="spellStart"/>
      <w:r>
        <w:rPr>
          <w:color w:val="auto"/>
          <w:lang w:val="en-GB"/>
        </w:rPr>
        <w:t>Stojković</w:t>
      </w:r>
      <w:proofErr w:type="spellEnd"/>
      <w:r>
        <w:rPr>
          <w:lang w:val="en-GB"/>
        </w:rPr>
        <w:t xml:space="preserve"> (case no. 83/09) was introduced on 15 April 2009. The complaints of Mr </w:t>
      </w:r>
      <w:proofErr w:type="spellStart"/>
      <w:r>
        <w:rPr>
          <w:lang w:val="en-GB"/>
        </w:rPr>
        <w:t>Dimitrije</w:t>
      </w:r>
      <w:proofErr w:type="spellEnd"/>
      <w:r>
        <w:rPr>
          <w:lang w:val="en-GB"/>
        </w:rPr>
        <w:t xml:space="preserve"> </w:t>
      </w:r>
      <w:proofErr w:type="spellStart"/>
      <w:r>
        <w:rPr>
          <w:color w:val="auto"/>
          <w:lang w:val="en-GB"/>
        </w:rPr>
        <w:t>Spasić</w:t>
      </w:r>
      <w:proofErr w:type="spellEnd"/>
      <w:r>
        <w:rPr>
          <w:lang w:val="en-GB"/>
        </w:rPr>
        <w:t xml:space="preserve"> (cases </w:t>
      </w:r>
      <w:proofErr w:type="spellStart"/>
      <w:r>
        <w:rPr>
          <w:lang w:val="en-GB"/>
        </w:rPr>
        <w:t>nos</w:t>
      </w:r>
      <w:proofErr w:type="spellEnd"/>
      <w:r>
        <w:rPr>
          <w:lang w:val="en-GB"/>
        </w:rPr>
        <w:t xml:space="preserve"> 235/09 and</w:t>
      </w:r>
      <w:r>
        <w:rPr>
          <w:lang w:val="en-GB"/>
        </w:rPr>
        <w:t xml:space="preserve"> 236/09) were introduced on 14 April 2009. All complaints were registered on 30 April 2009.</w:t>
      </w:r>
    </w:p>
    <w:p w:rsidR="00000000" w:rsidRDefault="00147B51">
      <w:pPr>
        <w:jc w:val="both"/>
        <w:rPr>
          <w:lang w:val="en-GB"/>
        </w:rPr>
      </w:pPr>
    </w:p>
    <w:p w:rsidR="00000000" w:rsidRDefault="00147B51">
      <w:pPr>
        <w:numPr>
          <w:ilvl w:val="0"/>
          <w:numId w:val="16"/>
        </w:numPr>
        <w:jc w:val="both"/>
        <w:rPr>
          <w:b/>
          <w:lang w:val="en-GB"/>
        </w:rPr>
      </w:pPr>
      <w:r>
        <w:rPr>
          <w:lang w:val="en-GB"/>
        </w:rPr>
        <w:t xml:space="preserve">On 24 July 2009, the cases </w:t>
      </w:r>
      <w:proofErr w:type="spellStart"/>
      <w:r>
        <w:rPr>
          <w:lang w:val="en-GB"/>
        </w:rPr>
        <w:t>nos</w:t>
      </w:r>
      <w:proofErr w:type="spellEnd"/>
      <w:r>
        <w:rPr>
          <w:lang w:val="en-GB"/>
        </w:rPr>
        <w:t xml:space="preserve"> 68/09 and 83/09 were communicated to the Special Representative of the Secretary-General (SRSG), for UNMIK’s comments on admissibili</w:t>
      </w:r>
      <w:r>
        <w:rPr>
          <w:lang w:val="en-GB"/>
        </w:rPr>
        <w:t xml:space="preserve">ty and merits. In response, by letter dated 3 August 2009, the SRSG advised </w:t>
      </w:r>
      <w:r>
        <w:rPr>
          <w:lang w:val="en-GB"/>
        </w:rPr>
        <w:lastRenderedPageBreak/>
        <w:t>the Panel that UNMIK could not provide comments because of the lack of facts presented by the complainant.</w:t>
      </w:r>
    </w:p>
    <w:p w:rsidR="00000000" w:rsidRDefault="00147B51">
      <w:pPr>
        <w:pStyle w:val="ListParagraph"/>
        <w:rPr>
          <w:b/>
        </w:rPr>
      </w:pPr>
    </w:p>
    <w:p w:rsidR="00000000" w:rsidRDefault="00147B51">
      <w:pPr>
        <w:numPr>
          <w:ilvl w:val="0"/>
          <w:numId w:val="16"/>
        </w:numPr>
        <w:jc w:val="both"/>
        <w:rPr>
          <w:lang w:val="en-GB"/>
        </w:rPr>
      </w:pPr>
      <w:r>
        <w:rPr>
          <w:lang w:val="en-GB"/>
        </w:rPr>
        <w:t xml:space="preserve">On 18 December 2009, the Panel addressed the European Union Rule of Law </w:t>
      </w:r>
      <w:r>
        <w:rPr>
          <w:lang w:val="en-GB"/>
        </w:rPr>
        <w:t xml:space="preserve">Mission in Kosovo (EULEX) with a request for information in relation to the availability of any investigation files with regard to 43 complaints, including those of Ms </w:t>
      </w:r>
      <w:proofErr w:type="spellStart"/>
      <w:r>
        <w:rPr>
          <w:lang w:val="en-GB"/>
        </w:rPr>
        <w:t>Budimirka</w:t>
      </w:r>
      <w:proofErr w:type="spellEnd"/>
      <w:r>
        <w:rPr>
          <w:lang w:val="en-GB"/>
        </w:rPr>
        <w:t xml:space="preserve"> </w:t>
      </w:r>
      <w:proofErr w:type="spellStart"/>
      <w:r>
        <w:rPr>
          <w:lang w:val="en-GB"/>
        </w:rPr>
        <w:t>Mirić</w:t>
      </w:r>
      <w:proofErr w:type="spellEnd"/>
      <w:r>
        <w:rPr>
          <w:lang w:val="en-GB"/>
        </w:rPr>
        <w:t xml:space="preserve"> (case no. 68/09) and Ms </w:t>
      </w:r>
      <w:proofErr w:type="spellStart"/>
      <w:r>
        <w:rPr>
          <w:lang w:val="en-GB"/>
        </w:rPr>
        <w:t>Ljiljana</w:t>
      </w:r>
      <w:proofErr w:type="spellEnd"/>
      <w:r>
        <w:rPr>
          <w:lang w:val="en-GB"/>
        </w:rPr>
        <w:t xml:space="preserve"> </w:t>
      </w:r>
      <w:proofErr w:type="spellStart"/>
      <w:r>
        <w:rPr>
          <w:lang w:val="en-GB"/>
        </w:rPr>
        <w:t>Stojković</w:t>
      </w:r>
      <w:proofErr w:type="spellEnd"/>
      <w:r>
        <w:rPr>
          <w:lang w:val="en-GB"/>
        </w:rPr>
        <w:t xml:space="preserve"> (case no. 83/09). The Head of</w:t>
      </w:r>
      <w:r>
        <w:rPr>
          <w:lang w:val="en-GB"/>
        </w:rPr>
        <w:t xml:space="preserve"> the EULEX Human Rights and Gender Office provided a response on 23 March 2010.</w:t>
      </w:r>
    </w:p>
    <w:p w:rsidR="00000000" w:rsidRDefault="00147B51">
      <w:pPr>
        <w:pStyle w:val="ListParagraph"/>
      </w:pPr>
    </w:p>
    <w:p w:rsidR="00000000" w:rsidRDefault="00147B51">
      <w:pPr>
        <w:numPr>
          <w:ilvl w:val="0"/>
          <w:numId w:val="16"/>
        </w:numPr>
        <w:jc w:val="both"/>
        <w:rPr>
          <w:lang w:val="en-GB"/>
        </w:rPr>
      </w:pPr>
      <w:r>
        <w:rPr>
          <w:lang w:val="en-GB"/>
        </w:rPr>
        <w:t>On 23 December 2009, the Panel requested all complainants to provide additional information. No response to this request was received.</w:t>
      </w:r>
    </w:p>
    <w:p w:rsidR="00000000" w:rsidRDefault="00147B51">
      <w:pPr>
        <w:pStyle w:val="ListParagraph"/>
      </w:pPr>
    </w:p>
    <w:p w:rsidR="00000000" w:rsidRDefault="00147B51">
      <w:pPr>
        <w:numPr>
          <w:ilvl w:val="0"/>
          <w:numId w:val="16"/>
        </w:numPr>
        <w:jc w:val="both"/>
        <w:rPr>
          <w:lang w:val="en-GB"/>
        </w:rPr>
      </w:pPr>
      <w:r>
        <w:rPr>
          <w:lang w:val="en-GB"/>
        </w:rPr>
        <w:t xml:space="preserve">On 21 April 2010, the Panel reiterated </w:t>
      </w:r>
      <w:r>
        <w:rPr>
          <w:lang w:val="en-GB"/>
        </w:rPr>
        <w:t xml:space="preserve">its request for information to Ms </w:t>
      </w:r>
      <w:proofErr w:type="spellStart"/>
      <w:r>
        <w:rPr>
          <w:lang w:val="en-GB"/>
        </w:rPr>
        <w:t>Lj</w:t>
      </w:r>
      <w:r>
        <w:rPr>
          <w:lang w:val="en-GB"/>
        </w:rPr>
        <w:t>iljana</w:t>
      </w:r>
      <w:proofErr w:type="spellEnd"/>
      <w:r>
        <w:rPr>
          <w:lang w:val="en-GB"/>
        </w:rPr>
        <w:t xml:space="preserve"> </w:t>
      </w:r>
      <w:proofErr w:type="spellStart"/>
      <w:r>
        <w:rPr>
          <w:lang w:val="en-GB"/>
        </w:rPr>
        <w:t>Stojković</w:t>
      </w:r>
      <w:proofErr w:type="spellEnd"/>
      <w:r>
        <w:rPr>
          <w:lang w:val="en-GB"/>
        </w:rPr>
        <w:t xml:space="preserve">. She responded by a submission of additional documents, which were received by the Panel on 29 April 2010. During a telephone conversation with the Panel’s Secretariat on 15 December 2012, Ms </w:t>
      </w:r>
      <w:proofErr w:type="spellStart"/>
      <w:r>
        <w:rPr>
          <w:lang w:val="en-GB"/>
        </w:rPr>
        <w:t>Stojković</w:t>
      </w:r>
      <w:proofErr w:type="spellEnd"/>
      <w:r>
        <w:rPr>
          <w:lang w:val="en-GB"/>
        </w:rPr>
        <w:t xml:space="preserve"> confirmed that she possessed no furth</w:t>
      </w:r>
      <w:r>
        <w:rPr>
          <w:lang w:val="en-GB"/>
        </w:rPr>
        <w:t xml:space="preserve">er information in relation to the complaint. </w:t>
      </w:r>
    </w:p>
    <w:p w:rsidR="00000000" w:rsidRDefault="00147B51">
      <w:pPr>
        <w:pStyle w:val="ListParagraph"/>
        <w:ind w:left="0"/>
      </w:pPr>
    </w:p>
    <w:p w:rsidR="00000000" w:rsidRDefault="00147B51">
      <w:pPr>
        <w:numPr>
          <w:ilvl w:val="0"/>
          <w:numId w:val="16"/>
        </w:numPr>
        <w:jc w:val="both"/>
        <w:rPr>
          <w:lang w:val="en-GB"/>
        </w:rPr>
      </w:pPr>
      <w:r>
        <w:rPr>
          <w:lang w:val="en-GB"/>
        </w:rPr>
        <w:t xml:space="preserve">On 12 May 2010, the Panel repeated its request for information to Mr </w:t>
      </w:r>
      <w:proofErr w:type="spellStart"/>
      <w:r>
        <w:rPr>
          <w:lang w:val="en-GB"/>
        </w:rPr>
        <w:t>Dimitrije</w:t>
      </w:r>
      <w:proofErr w:type="spellEnd"/>
      <w:r>
        <w:rPr>
          <w:lang w:val="en-GB"/>
        </w:rPr>
        <w:t xml:space="preserve"> </w:t>
      </w:r>
      <w:proofErr w:type="spellStart"/>
      <w:r>
        <w:rPr>
          <w:lang w:val="en-GB"/>
        </w:rPr>
        <w:t>Spasić</w:t>
      </w:r>
      <w:proofErr w:type="spellEnd"/>
      <w:r>
        <w:rPr>
          <w:lang w:val="en-GB"/>
        </w:rPr>
        <w:t>. He responded by a letter dated 14 May 2010.</w:t>
      </w:r>
    </w:p>
    <w:p w:rsidR="00000000" w:rsidRDefault="00147B51">
      <w:pPr>
        <w:ind w:left="360"/>
        <w:jc w:val="both"/>
        <w:rPr>
          <w:lang w:val="en-GB"/>
        </w:rPr>
      </w:pPr>
    </w:p>
    <w:p w:rsidR="00000000" w:rsidRDefault="00147B51">
      <w:pPr>
        <w:numPr>
          <w:ilvl w:val="0"/>
          <w:numId w:val="16"/>
        </w:numPr>
        <w:jc w:val="both"/>
        <w:rPr>
          <w:lang w:val="en-GB"/>
        </w:rPr>
      </w:pPr>
      <w:r>
        <w:rPr>
          <w:lang w:val="en-GB"/>
        </w:rPr>
        <w:t>On 9 September 2010, the Panel decided to join all the above mentioned cases,</w:t>
      </w:r>
      <w:r>
        <w:rPr>
          <w:lang w:val="en-GB"/>
        </w:rPr>
        <w:t xml:space="preserve"> pursuant to Rule 20 of its Rules of Procedure.</w:t>
      </w:r>
    </w:p>
    <w:p w:rsidR="00000000" w:rsidRDefault="00147B51">
      <w:pPr>
        <w:ind w:left="360"/>
        <w:jc w:val="both"/>
        <w:rPr>
          <w:lang w:val="en-GB"/>
        </w:rPr>
      </w:pPr>
    </w:p>
    <w:p w:rsidR="00000000" w:rsidRDefault="00147B51">
      <w:pPr>
        <w:numPr>
          <w:ilvl w:val="0"/>
          <w:numId w:val="16"/>
        </w:numPr>
        <w:jc w:val="both"/>
        <w:rPr>
          <w:lang w:val="en-GB"/>
        </w:rPr>
      </w:pPr>
      <w:r>
        <w:rPr>
          <w:lang w:val="en-GB"/>
        </w:rPr>
        <w:t xml:space="preserve">On 29 September 2010, the Panel reiterated its request for additional information to Ms </w:t>
      </w:r>
      <w:proofErr w:type="spellStart"/>
      <w:r>
        <w:rPr>
          <w:lang w:val="en-GB"/>
        </w:rPr>
        <w:t>Budimirka</w:t>
      </w:r>
      <w:proofErr w:type="spellEnd"/>
      <w:r>
        <w:rPr>
          <w:lang w:val="en-GB"/>
        </w:rPr>
        <w:t xml:space="preserve"> </w:t>
      </w:r>
      <w:proofErr w:type="spellStart"/>
      <w:r>
        <w:rPr>
          <w:lang w:val="en-GB"/>
        </w:rPr>
        <w:t>Mirić</w:t>
      </w:r>
      <w:proofErr w:type="spellEnd"/>
      <w:r>
        <w:rPr>
          <w:lang w:val="en-GB"/>
        </w:rPr>
        <w:t xml:space="preserve">. On 20 January 2011 the Panel’s Secretariat contacted her by telephone. On 23 February 2011, the Panel </w:t>
      </w:r>
      <w:r>
        <w:rPr>
          <w:lang w:val="en-GB"/>
        </w:rPr>
        <w:t xml:space="preserve">received Ms </w:t>
      </w:r>
      <w:proofErr w:type="spellStart"/>
      <w:r>
        <w:rPr>
          <w:lang w:val="en-GB"/>
        </w:rPr>
        <w:t>Mirić’s</w:t>
      </w:r>
      <w:proofErr w:type="spellEnd"/>
      <w:r>
        <w:rPr>
          <w:lang w:val="en-GB"/>
        </w:rPr>
        <w:t xml:space="preserve"> response.</w:t>
      </w:r>
    </w:p>
    <w:p w:rsidR="00000000" w:rsidRDefault="00147B51">
      <w:pPr>
        <w:pStyle w:val="ListParagraph"/>
      </w:pPr>
    </w:p>
    <w:p w:rsidR="00000000" w:rsidRDefault="00147B51">
      <w:pPr>
        <w:numPr>
          <w:ilvl w:val="0"/>
          <w:numId w:val="16"/>
        </w:numPr>
        <w:jc w:val="both"/>
        <w:rPr>
          <w:b/>
          <w:lang w:val="en-GB"/>
        </w:rPr>
      </w:pPr>
      <w:r>
        <w:rPr>
          <w:lang w:val="en-GB"/>
        </w:rPr>
        <w:t>On 23 April 2012, all complaints were communicated to the SRSG, for UNMIK’s comments on admissibility. The SRSG provided UNMIK’s response on 4 June 2012.</w:t>
      </w:r>
    </w:p>
    <w:p w:rsidR="00000000" w:rsidRDefault="00147B51">
      <w:pPr>
        <w:jc w:val="both"/>
        <w:rPr>
          <w:b/>
          <w:lang w:val="en-GB"/>
        </w:rPr>
      </w:pPr>
    </w:p>
    <w:p w:rsidR="00000000" w:rsidRDefault="00147B51">
      <w:pPr>
        <w:jc w:val="both"/>
        <w:rPr>
          <w:b/>
          <w:lang w:val="en-GB"/>
        </w:rPr>
      </w:pPr>
    </w:p>
    <w:p w:rsidR="00000000" w:rsidRDefault="00147B51">
      <w:pPr>
        <w:jc w:val="both"/>
        <w:rPr>
          <w:b/>
          <w:lang w:val="en-GB"/>
        </w:rPr>
      </w:pPr>
      <w:r>
        <w:rPr>
          <w:b/>
          <w:lang w:val="en-GB"/>
        </w:rPr>
        <w:t>II. THE FACTS</w:t>
      </w:r>
    </w:p>
    <w:p w:rsidR="00000000" w:rsidRDefault="00147B51">
      <w:pPr>
        <w:pStyle w:val="Default"/>
        <w:rPr>
          <w:lang w:val="en-GB"/>
        </w:rPr>
      </w:pPr>
    </w:p>
    <w:p w:rsidR="00000000" w:rsidRDefault="00147B51">
      <w:pPr>
        <w:numPr>
          <w:ilvl w:val="0"/>
          <w:numId w:val="16"/>
        </w:numPr>
        <w:jc w:val="both"/>
        <w:rPr>
          <w:lang w:val="en-GB"/>
        </w:rPr>
      </w:pPr>
      <w:r>
        <w:rPr>
          <w:lang w:val="en-GB"/>
        </w:rPr>
        <w:t>All complainants are former residents of Kosovo, curre</w:t>
      </w:r>
      <w:r>
        <w:rPr>
          <w:lang w:val="en-GB"/>
        </w:rPr>
        <w:t xml:space="preserve">ntly living in </w:t>
      </w:r>
      <w:smartTag w:uri="urn:schemas-microsoft-com:office:smarttags" w:element="country-region">
        <w:smartTag w:uri="urn:schemas-microsoft-com:office:smarttags" w:element="place">
          <w:r>
            <w:rPr>
              <w:lang w:val="en-GB"/>
            </w:rPr>
            <w:t>Serbia</w:t>
          </w:r>
        </w:smartTag>
      </w:smartTag>
      <w:r>
        <w:rPr>
          <w:lang w:val="en-GB"/>
        </w:rPr>
        <w:t xml:space="preserve"> proper.</w:t>
      </w:r>
    </w:p>
    <w:p w:rsidR="00000000" w:rsidRDefault="00147B51">
      <w:pPr>
        <w:ind w:left="360"/>
        <w:jc w:val="both"/>
        <w:rPr>
          <w:lang w:val="en-GB"/>
        </w:rPr>
      </w:pPr>
    </w:p>
    <w:p w:rsidR="00000000" w:rsidRDefault="00147B51">
      <w:pPr>
        <w:numPr>
          <w:ilvl w:val="0"/>
          <w:numId w:val="16"/>
        </w:numPr>
        <w:jc w:val="both"/>
        <w:rPr>
          <w:lang w:val="en-GB"/>
        </w:rPr>
      </w:pPr>
      <w:r>
        <w:rPr>
          <w:lang w:val="en-GB"/>
        </w:rPr>
        <w:t xml:space="preserve">Ms </w:t>
      </w:r>
      <w:proofErr w:type="spellStart"/>
      <w:r>
        <w:rPr>
          <w:lang w:val="en-GB"/>
        </w:rPr>
        <w:t>Budimirka</w:t>
      </w:r>
      <w:proofErr w:type="spellEnd"/>
      <w:r>
        <w:rPr>
          <w:lang w:val="en-GB"/>
        </w:rPr>
        <w:t xml:space="preserve"> </w:t>
      </w:r>
      <w:proofErr w:type="spellStart"/>
      <w:r>
        <w:rPr>
          <w:lang w:val="en-GB"/>
        </w:rPr>
        <w:t>Mirić</w:t>
      </w:r>
      <w:proofErr w:type="spellEnd"/>
      <w:r>
        <w:rPr>
          <w:lang w:val="en-GB"/>
        </w:rPr>
        <w:t xml:space="preserve"> is the daughter of Mrs </w:t>
      </w:r>
      <w:proofErr w:type="spellStart"/>
      <w:r>
        <w:rPr>
          <w:lang w:val="en-GB"/>
        </w:rPr>
        <w:t>Draga</w:t>
      </w:r>
      <w:proofErr w:type="spellEnd"/>
      <w:r>
        <w:rPr>
          <w:lang w:val="en-GB"/>
        </w:rPr>
        <w:t xml:space="preserve"> </w:t>
      </w:r>
      <w:proofErr w:type="spellStart"/>
      <w:r>
        <w:rPr>
          <w:lang w:val="en-GB"/>
        </w:rPr>
        <w:t>Đukić</w:t>
      </w:r>
      <w:proofErr w:type="spellEnd"/>
      <w:r>
        <w:rPr>
          <w:lang w:val="en-GB"/>
        </w:rPr>
        <w:t xml:space="preserve"> (case no. 68/09) and sister of Mr </w:t>
      </w:r>
      <w:proofErr w:type="spellStart"/>
      <w:r>
        <w:rPr>
          <w:lang w:val="en-GB"/>
        </w:rPr>
        <w:t>Srećko</w:t>
      </w:r>
      <w:proofErr w:type="spellEnd"/>
      <w:r>
        <w:rPr>
          <w:lang w:val="en-GB"/>
        </w:rPr>
        <w:t xml:space="preserve"> </w:t>
      </w:r>
      <w:proofErr w:type="spellStart"/>
      <w:r>
        <w:rPr>
          <w:lang w:val="en-GB"/>
        </w:rPr>
        <w:t>Đekić</w:t>
      </w:r>
      <w:proofErr w:type="spellEnd"/>
      <w:r>
        <w:rPr>
          <w:lang w:val="en-GB"/>
        </w:rPr>
        <w:t xml:space="preserve"> (case no. 256/09). Ms </w:t>
      </w:r>
      <w:proofErr w:type="spellStart"/>
      <w:r>
        <w:rPr>
          <w:lang w:val="en-GB"/>
        </w:rPr>
        <w:t>Ljiljana</w:t>
      </w:r>
      <w:proofErr w:type="spellEnd"/>
      <w:r>
        <w:rPr>
          <w:lang w:val="en-GB"/>
        </w:rPr>
        <w:t xml:space="preserve"> </w:t>
      </w:r>
      <w:proofErr w:type="spellStart"/>
      <w:r>
        <w:rPr>
          <w:lang w:val="en-GB"/>
        </w:rPr>
        <w:t>Stojković</w:t>
      </w:r>
      <w:proofErr w:type="spellEnd"/>
      <w:r>
        <w:rPr>
          <w:lang w:val="en-GB"/>
        </w:rPr>
        <w:t xml:space="preserve"> is the daughter of Mrs </w:t>
      </w:r>
      <w:proofErr w:type="spellStart"/>
      <w:r>
        <w:rPr>
          <w:lang w:val="en-GB"/>
        </w:rPr>
        <w:t>Vasiljka</w:t>
      </w:r>
      <w:proofErr w:type="spellEnd"/>
      <w:r>
        <w:rPr>
          <w:lang w:val="en-GB"/>
        </w:rPr>
        <w:t xml:space="preserve"> </w:t>
      </w:r>
      <w:proofErr w:type="spellStart"/>
      <w:r>
        <w:rPr>
          <w:lang w:val="en-GB"/>
        </w:rPr>
        <w:t>Nikolić</w:t>
      </w:r>
      <w:proofErr w:type="spellEnd"/>
      <w:r>
        <w:rPr>
          <w:lang w:val="en-GB"/>
        </w:rPr>
        <w:t xml:space="preserve"> (case no. 83/09). Mr </w:t>
      </w:r>
      <w:proofErr w:type="spellStart"/>
      <w:r>
        <w:rPr>
          <w:lang w:val="en-GB"/>
        </w:rPr>
        <w:t>Dimitrije</w:t>
      </w:r>
      <w:proofErr w:type="spellEnd"/>
      <w:r>
        <w:rPr>
          <w:lang w:val="en-GB"/>
        </w:rPr>
        <w:t xml:space="preserve"> </w:t>
      </w:r>
      <w:proofErr w:type="spellStart"/>
      <w:r>
        <w:rPr>
          <w:lang w:val="en-GB"/>
        </w:rPr>
        <w:t>Spasić</w:t>
      </w:r>
      <w:proofErr w:type="spellEnd"/>
      <w:r>
        <w:rPr>
          <w:lang w:val="en-GB"/>
        </w:rPr>
        <w:t xml:space="preserve"> is th</w:t>
      </w:r>
      <w:r>
        <w:rPr>
          <w:lang w:val="en-GB"/>
        </w:rPr>
        <w:t xml:space="preserve">e son of Mr </w:t>
      </w:r>
      <w:proofErr w:type="spellStart"/>
      <w:r>
        <w:rPr>
          <w:lang w:val="en-GB"/>
        </w:rPr>
        <w:t>Jevta</w:t>
      </w:r>
      <w:proofErr w:type="spellEnd"/>
      <w:r>
        <w:rPr>
          <w:lang w:val="en-GB"/>
        </w:rPr>
        <w:t xml:space="preserve"> </w:t>
      </w:r>
      <w:proofErr w:type="spellStart"/>
      <w:r>
        <w:rPr>
          <w:lang w:val="en-GB"/>
        </w:rPr>
        <w:t>Spasić</w:t>
      </w:r>
      <w:proofErr w:type="spellEnd"/>
      <w:r>
        <w:rPr>
          <w:lang w:val="en-GB"/>
        </w:rPr>
        <w:t xml:space="preserve"> (case no. 235/09) and Mrs </w:t>
      </w:r>
      <w:proofErr w:type="spellStart"/>
      <w:r>
        <w:rPr>
          <w:lang w:val="en-GB"/>
        </w:rPr>
        <w:t>Bosiljka</w:t>
      </w:r>
      <w:proofErr w:type="spellEnd"/>
      <w:r>
        <w:rPr>
          <w:lang w:val="en-GB"/>
        </w:rPr>
        <w:t xml:space="preserve"> </w:t>
      </w:r>
      <w:proofErr w:type="spellStart"/>
      <w:r>
        <w:rPr>
          <w:lang w:val="en-GB"/>
        </w:rPr>
        <w:t>Spasić</w:t>
      </w:r>
      <w:proofErr w:type="spellEnd"/>
      <w:r>
        <w:rPr>
          <w:lang w:val="en-GB"/>
        </w:rPr>
        <w:t xml:space="preserve"> (case no. 236/09).</w:t>
      </w:r>
    </w:p>
    <w:p w:rsidR="00000000" w:rsidRDefault="00147B51">
      <w:pPr>
        <w:ind w:left="360"/>
        <w:jc w:val="both"/>
        <w:rPr>
          <w:lang w:val="en-GB"/>
        </w:rPr>
      </w:pPr>
    </w:p>
    <w:p w:rsidR="00000000" w:rsidRDefault="00147B51">
      <w:pPr>
        <w:numPr>
          <w:ilvl w:val="0"/>
          <w:numId w:val="16"/>
        </w:numPr>
        <w:jc w:val="both"/>
        <w:rPr>
          <w:lang w:val="en-GB"/>
        </w:rPr>
      </w:pPr>
      <w:r>
        <w:rPr>
          <w:lang w:val="en-GB"/>
        </w:rPr>
        <w:t xml:space="preserve">The complainants inform the Panel that their relatives were abducted in June 1999 by members of the Kosovo Liberation Army (KLA), from </w:t>
      </w:r>
      <w:proofErr w:type="spellStart"/>
      <w:r>
        <w:rPr>
          <w:lang w:val="en-GB"/>
        </w:rPr>
        <w:t>Dojnicё</w:t>
      </w:r>
      <w:proofErr w:type="spellEnd"/>
      <w:r>
        <w:rPr>
          <w:lang w:val="en-GB"/>
        </w:rPr>
        <w:t>/</w:t>
      </w:r>
      <w:proofErr w:type="spellStart"/>
      <w:r>
        <w:rPr>
          <w:lang w:val="en-GB"/>
        </w:rPr>
        <w:t>Dojnice</w:t>
      </w:r>
      <w:proofErr w:type="spellEnd"/>
      <w:r>
        <w:rPr>
          <w:lang w:val="en-GB"/>
        </w:rPr>
        <w:t xml:space="preserve"> village, Prizren m</w:t>
      </w:r>
      <w:r>
        <w:rPr>
          <w:lang w:val="en-GB"/>
        </w:rPr>
        <w:t xml:space="preserve">unicipality. Specifically, Mrs </w:t>
      </w:r>
      <w:proofErr w:type="spellStart"/>
      <w:r>
        <w:rPr>
          <w:lang w:val="en-GB"/>
        </w:rPr>
        <w:t>Draga</w:t>
      </w:r>
      <w:proofErr w:type="spellEnd"/>
      <w:r>
        <w:rPr>
          <w:lang w:val="en-GB"/>
        </w:rPr>
        <w:t xml:space="preserve"> </w:t>
      </w:r>
      <w:proofErr w:type="spellStart"/>
      <w:r>
        <w:rPr>
          <w:lang w:val="en-GB"/>
        </w:rPr>
        <w:t>Đukić</w:t>
      </w:r>
      <w:proofErr w:type="spellEnd"/>
      <w:r>
        <w:rPr>
          <w:lang w:val="en-GB"/>
        </w:rPr>
        <w:t xml:space="preserve"> was reportedly abducted on 12 June 1999, Mr and Mrs </w:t>
      </w:r>
      <w:proofErr w:type="spellStart"/>
      <w:r>
        <w:rPr>
          <w:lang w:val="en-GB"/>
        </w:rPr>
        <w:t>Spasić</w:t>
      </w:r>
      <w:proofErr w:type="spellEnd"/>
      <w:r>
        <w:rPr>
          <w:lang w:val="en-GB"/>
        </w:rPr>
        <w:t xml:space="preserve"> on 26 June 1999, and Mrs </w:t>
      </w:r>
      <w:proofErr w:type="spellStart"/>
      <w:r>
        <w:rPr>
          <w:lang w:val="en-GB"/>
        </w:rPr>
        <w:t>Vasiljka</w:t>
      </w:r>
      <w:proofErr w:type="spellEnd"/>
      <w:r>
        <w:rPr>
          <w:lang w:val="en-GB"/>
        </w:rPr>
        <w:t xml:space="preserve"> </w:t>
      </w:r>
      <w:proofErr w:type="spellStart"/>
      <w:r>
        <w:rPr>
          <w:lang w:val="en-GB"/>
        </w:rPr>
        <w:t>Nikolić</w:t>
      </w:r>
      <w:proofErr w:type="spellEnd"/>
      <w:r>
        <w:rPr>
          <w:lang w:val="en-GB"/>
        </w:rPr>
        <w:t xml:space="preserve"> and Mr </w:t>
      </w:r>
      <w:proofErr w:type="spellStart"/>
      <w:r>
        <w:rPr>
          <w:lang w:val="en-GB"/>
        </w:rPr>
        <w:t>Srećko</w:t>
      </w:r>
      <w:proofErr w:type="spellEnd"/>
      <w:r>
        <w:rPr>
          <w:lang w:val="en-GB"/>
        </w:rPr>
        <w:t xml:space="preserve"> </w:t>
      </w:r>
      <w:proofErr w:type="spellStart"/>
      <w:r>
        <w:rPr>
          <w:lang w:val="en-GB"/>
        </w:rPr>
        <w:t>Đekić</w:t>
      </w:r>
      <w:proofErr w:type="spellEnd"/>
      <w:r>
        <w:rPr>
          <w:lang w:val="en-GB"/>
        </w:rPr>
        <w:t xml:space="preserve"> on 27 June 1999.</w:t>
      </w:r>
    </w:p>
    <w:p w:rsidR="00000000" w:rsidRDefault="00147B51">
      <w:pPr>
        <w:pStyle w:val="ListParagraph"/>
      </w:pPr>
    </w:p>
    <w:p w:rsidR="00000000" w:rsidRDefault="00147B51">
      <w:pPr>
        <w:numPr>
          <w:ilvl w:val="0"/>
          <w:numId w:val="16"/>
        </w:numPr>
        <w:jc w:val="both"/>
        <w:rPr>
          <w:lang w:val="en-GB"/>
        </w:rPr>
      </w:pPr>
      <w:r>
        <w:rPr>
          <w:lang w:val="en-GB"/>
        </w:rPr>
        <w:t>All the complainants state that their relatives were abducted during an or</w:t>
      </w:r>
      <w:r>
        <w:rPr>
          <w:lang w:val="en-GB"/>
        </w:rPr>
        <w:t>chestrated attack by the KLA on that village, which is established to have taken place on 27 June 1999. Therefore, the Panel assumes that all victims were abducted on that date. The information available on the websites of the International Committee of th</w:t>
      </w:r>
      <w:r>
        <w:rPr>
          <w:lang w:val="en-GB"/>
        </w:rPr>
        <w:t>e Red Cross (ICRC) and the International Commission on Missing Persons supports this conclusion.</w:t>
      </w:r>
    </w:p>
    <w:p w:rsidR="00000000" w:rsidRDefault="00147B51">
      <w:pPr>
        <w:ind w:left="360"/>
        <w:jc w:val="both"/>
        <w:rPr>
          <w:lang w:val="en-GB"/>
        </w:rPr>
      </w:pPr>
    </w:p>
    <w:p w:rsidR="00000000" w:rsidRDefault="00147B51">
      <w:pPr>
        <w:numPr>
          <w:ilvl w:val="0"/>
          <w:numId w:val="16"/>
        </w:numPr>
        <w:jc w:val="both"/>
        <w:rPr>
          <w:lang w:val="en-GB"/>
        </w:rPr>
      </w:pPr>
      <w:r>
        <w:rPr>
          <w:lang w:val="en-GB"/>
        </w:rPr>
        <w:t xml:space="preserve">Since that time, the whereabouts of Mrs </w:t>
      </w:r>
      <w:proofErr w:type="spellStart"/>
      <w:r>
        <w:rPr>
          <w:lang w:val="en-GB"/>
        </w:rPr>
        <w:t>Draga</w:t>
      </w:r>
      <w:proofErr w:type="spellEnd"/>
      <w:r>
        <w:rPr>
          <w:lang w:val="en-GB"/>
        </w:rPr>
        <w:t xml:space="preserve"> </w:t>
      </w:r>
      <w:proofErr w:type="spellStart"/>
      <w:r>
        <w:rPr>
          <w:lang w:val="en-GB"/>
        </w:rPr>
        <w:t>Đukić</w:t>
      </w:r>
      <w:proofErr w:type="spellEnd"/>
      <w:r>
        <w:rPr>
          <w:lang w:val="en-GB"/>
        </w:rPr>
        <w:t xml:space="preserve">, Mrs </w:t>
      </w:r>
      <w:proofErr w:type="spellStart"/>
      <w:r>
        <w:rPr>
          <w:lang w:val="en-GB"/>
        </w:rPr>
        <w:t>Vasiljka</w:t>
      </w:r>
      <w:proofErr w:type="spellEnd"/>
      <w:r>
        <w:rPr>
          <w:lang w:val="en-GB"/>
        </w:rPr>
        <w:t xml:space="preserve"> </w:t>
      </w:r>
      <w:proofErr w:type="spellStart"/>
      <w:r>
        <w:rPr>
          <w:lang w:val="en-GB"/>
        </w:rPr>
        <w:t>Nikolić</w:t>
      </w:r>
      <w:proofErr w:type="spellEnd"/>
      <w:r>
        <w:rPr>
          <w:lang w:val="en-GB"/>
        </w:rPr>
        <w:t xml:space="preserve">, Mr </w:t>
      </w:r>
      <w:proofErr w:type="spellStart"/>
      <w:r>
        <w:rPr>
          <w:lang w:val="en-GB"/>
        </w:rPr>
        <w:t>Jevta</w:t>
      </w:r>
      <w:proofErr w:type="spellEnd"/>
      <w:r>
        <w:rPr>
          <w:lang w:val="en-GB"/>
        </w:rPr>
        <w:t xml:space="preserve"> </w:t>
      </w:r>
      <w:proofErr w:type="spellStart"/>
      <w:r>
        <w:rPr>
          <w:lang w:val="en-GB"/>
        </w:rPr>
        <w:t>Spasić</w:t>
      </w:r>
      <w:proofErr w:type="spellEnd"/>
      <w:r>
        <w:rPr>
          <w:lang w:val="en-GB"/>
        </w:rPr>
        <w:t xml:space="preserve"> and Mrs </w:t>
      </w:r>
      <w:proofErr w:type="spellStart"/>
      <w:r>
        <w:rPr>
          <w:lang w:val="en-GB"/>
        </w:rPr>
        <w:t>Bosiljka</w:t>
      </w:r>
      <w:proofErr w:type="spellEnd"/>
      <w:r>
        <w:rPr>
          <w:lang w:val="en-GB"/>
        </w:rPr>
        <w:t xml:space="preserve"> </w:t>
      </w:r>
      <w:proofErr w:type="spellStart"/>
      <w:r>
        <w:rPr>
          <w:lang w:val="en-GB"/>
        </w:rPr>
        <w:t>Spasić</w:t>
      </w:r>
      <w:proofErr w:type="spellEnd"/>
      <w:r>
        <w:rPr>
          <w:lang w:val="en-GB"/>
        </w:rPr>
        <w:t xml:space="preserve"> have remained unknown. The ICRC tracing requests for them remain open.</w:t>
      </w:r>
    </w:p>
    <w:p w:rsidR="00000000" w:rsidRDefault="00147B51">
      <w:pPr>
        <w:pStyle w:val="ListParagraph"/>
      </w:pPr>
    </w:p>
    <w:p w:rsidR="00000000" w:rsidRDefault="00147B51">
      <w:pPr>
        <w:numPr>
          <w:ilvl w:val="0"/>
          <w:numId w:val="16"/>
        </w:numPr>
        <w:jc w:val="both"/>
        <w:rPr>
          <w:lang w:val="en-GB"/>
        </w:rPr>
      </w:pPr>
      <w:r>
        <w:rPr>
          <w:lang w:val="en-GB"/>
        </w:rPr>
        <w:t xml:space="preserve">The mortal remains of Mr </w:t>
      </w:r>
      <w:proofErr w:type="spellStart"/>
      <w:r>
        <w:rPr>
          <w:lang w:val="en-GB"/>
        </w:rPr>
        <w:t>Srećko</w:t>
      </w:r>
      <w:proofErr w:type="spellEnd"/>
      <w:r>
        <w:rPr>
          <w:lang w:val="en-GB"/>
        </w:rPr>
        <w:t xml:space="preserve"> </w:t>
      </w:r>
      <w:proofErr w:type="spellStart"/>
      <w:r>
        <w:rPr>
          <w:lang w:val="en-GB"/>
        </w:rPr>
        <w:t>Đekić</w:t>
      </w:r>
      <w:proofErr w:type="spellEnd"/>
      <w:r>
        <w:rPr>
          <w:lang w:val="en-GB"/>
        </w:rPr>
        <w:t xml:space="preserve"> were located and identified by the UNMIK Office on Missing Persons and Forens</w:t>
      </w:r>
      <w:r>
        <w:rPr>
          <w:lang w:val="en-GB"/>
        </w:rPr>
        <w:t xml:space="preserve">ics (OMPF), which is confirmed by a copy of a Confirmation of Identity issued by the OMPF on 19 October 2006. As the complainant states, Mr </w:t>
      </w:r>
      <w:proofErr w:type="spellStart"/>
      <w:r>
        <w:rPr>
          <w:lang w:val="en-GB"/>
        </w:rPr>
        <w:t>Đekić’s</w:t>
      </w:r>
      <w:proofErr w:type="spellEnd"/>
      <w:r>
        <w:rPr>
          <w:lang w:val="en-GB"/>
        </w:rPr>
        <w:t xml:space="preserve"> mortal remains were returned to the family on 3 December 2007.</w:t>
      </w:r>
    </w:p>
    <w:p w:rsidR="00000000" w:rsidRDefault="00147B51">
      <w:pPr>
        <w:pStyle w:val="ListParagraph"/>
      </w:pPr>
    </w:p>
    <w:p w:rsidR="00000000" w:rsidRDefault="00147B51">
      <w:pPr>
        <w:numPr>
          <w:ilvl w:val="0"/>
          <w:numId w:val="16"/>
        </w:numPr>
        <w:jc w:val="both"/>
        <w:rPr>
          <w:lang w:val="en-GB"/>
        </w:rPr>
      </w:pPr>
      <w:r>
        <w:rPr>
          <w:lang w:val="en-GB"/>
        </w:rPr>
        <w:t>The complainants state that all disappearanc</w:t>
      </w:r>
      <w:r>
        <w:rPr>
          <w:lang w:val="en-GB"/>
        </w:rPr>
        <w:t>es were reported to KFOR, UNMIK, the Yugoslav Red Cross, and the Serbian Ministry of Internal Affairs.</w:t>
      </w:r>
    </w:p>
    <w:p w:rsidR="00000000" w:rsidRDefault="00147B51">
      <w:pPr>
        <w:ind w:left="360"/>
        <w:jc w:val="both"/>
        <w:rPr>
          <w:lang w:val="en-GB"/>
        </w:rPr>
      </w:pPr>
    </w:p>
    <w:p w:rsidR="00000000" w:rsidRDefault="00147B51">
      <w:pPr>
        <w:numPr>
          <w:ilvl w:val="0"/>
          <w:numId w:val="16"/>
        </w:numPr>
        <w:jc w:val="both"/>
        <w:rPr>
          <w:lang w:val="en-GB"/>
        </w:rPr>
      </w:pPr>
      <w:r>
        <w:rPr>
          <w:lang w:val="en-GB"/>
        </w:rPr>
        <w:t xml:space="preserve">Ms </w:t>
      </w:r>
      <w:proofErr w:type="spellStart"/>
      <w:r>
        <w:rPr>
          <w:lang w:val="en-GB"/>
        </w:rPr>
        <w:t>Budimirka</w:t>
      </w:r>
      <w:proofErr w:type="spellEnd"/>
      <w:r>
        <w:rPr>
          <w:lang w:val="en-GB"/>
        </w:rPr>
        <w:t xml:space="preserve"> </w:t>
      </w:r>
      <w:proofErr w:type="spellStart"/>
      <w:r>
        <w:rPr>
          <w:lang w:val="en-GB"/>
        </w:rPr>
        <w:t>Mirić</w:t>
      </w:r>
      <w:proofErr w:type="spellEnd"/>
      <w:r>
        <w:rPr>
          <w:lang w:val="en-GB"/>
        </w:rPr>
        <w:t xml:space="preserve"> and Ms </w:t>
      </w:r>
      <w:proofErr w:type="spellStart"/>
      <w:r>
        <w:rPr>
          <w:lang w:val="en-GB"/>
        </w:rPr>
        <w:t>Ljiljana</w:t>
      </w:r>
      <w:proofErr w:type="spellEnd"/>
      <w:r>
        <w:rPr>
          <w:lang w:val="en-GB"/>
        </w:rPr>
        <w:t xml:space="preserve"> </w:t>
      </w:r>
      <w:proofErr w:type="spellStart"/>
      <w:r>
        <w:rPr>
          <w:lang w:val="en-GB"/>
        </w:rPr>
        <w:t>Stojković</w:t>
      </w:r>
      <w:proofErr w:type="spellEnd"/>
      <w:r>
        <w:rPr>
          <w:lang w:val="en-GB"/>
        </w:rPr>
        <w:t xml:space="preserve"> also inform the Panel that on unspecified dates they submitted criminal reports against unknown KLA members</w:t>
      </w:r>
      <w:r>
        <w:rPr>
          <w:lang w:val="en-GB"/>
        </w:rPr>
        <w:t xml:space="preserve"> responsible for the abduction of around 20 victims, including all the above-listed persons, to UNMIK International Prosecutors in the Prizren District Public Prosecutor’s Office. They state that they have never received any reply in that regard.</w:t>
      </w:r>
    </w:p>
    <w:p w:rsidR="00000000" w:rsidRDefault="00147B51">
      <w:pPr>
        <w:pStyle w:val="ListParagraph"/>
      </w:pPr>
    </w:p>
    <w:p w:rsidR="00000000" w:rsidRDefault="00147B51">
      <w:pPr>
        <w:numPr>
          <w:ilvl w:val="0"/>
          <w:numId w:val="16"/>
        </w:numPr>
        <w:jc w:val="both"/>
        <w:rPr>
          <w:lang w:val="en-GB"/>
        </w:rPr>
      </w:pPr>
      <w:r>
        <w:rPr>
          <w:lang w:val="en-GB"/>
        </w:rPr>
        <w:t>The name</w:t>
      </w:r>
      <w:r>
        <w:rPr>
          <w:lang w:val="en-GB"/>
        </w:rPr>
        <w:t xml:space="preserve">s of the five abducted persons appear in a list of missing persons, communicated by the ICRC to UNMIK Police on 12 October 2001, and in the database compiled by the OMPF. </w:t>
      </w:r>
    </w:p>
    <w:p w:rsidR="00000000" w:rsidRDefault="00147B51">
      <w:pPr>
        <w:pStyle w:val="ListParagraph"/>
      </w:pPr>
    </w:p>
    <w:p w:rsidR="00000000" w:rsidRDefault="00147B51">
      <w:pPr>
        <w:numPr>
          <w:ilvl w:val="0"/>
          <w:numId w:val="16"/>
        </w:numPr>
        <w:jc w:val="both"/>
        <w:rPr>
          <w:lang w:val="en-GB"/>
        </w:rPr>
      </w:pPr>
      <w:r>
        <w:rPr>
          <w:lang w:val="en-GB"/>
        </w:rPr>
        <w:t>On 9 December 2008, UNMIK’s responsibility with regard to police and justice in Kos</w:t>
      </w:r>
      <w:r>
        <w:rPr>
          <w:lang w:val="en-GB"/>
        </w:rPr>
        <w:t>ovo ended with EULEX assuming full operational control in the area of the rule of law, following the Statement made by the President of the United Nations Security Council on 26 November 2008 (S/PRST/2008/44), welcoming the continued engagement of the Euro</w:t>
      </w:r>
      <w:r>
        <w:rPr>
          <w:lang w:val="en-GB"/>
        </w:rPr>
        <w:t>pean Union in Kosovo. Between 9 December 2008 and 30 March 2009, all criminal investigation case files held by the UNMIK Department of Justice and UNMIK Police were handed over to their EULEX counterparts.</w:t>
      </w:r>
    </w:p>
    <w:p w:rsidR="00000000" w:rsidRDefault="00147B51">
      <w:pPr>
        <w:autoSpaceDE w:val="0"/>
        <w:autoSpaceDN w:val="0"/>
        <w:adjustRightInd w:val="0"/>
        <w:ind w:left="360" w:hanging="360"/>
        <w:jc w:val="both"/>
        <w:outlineLvl w:val="0"/>
        <w:rPr>
          <w:b/>
          <w:bCs/>
          <w:lang w:val="en-GB" w:eastAsia="en-US"/>
        </w:rPr>
      </w:pPr>
    </w:p>
    <w:p w:rsidR="00000000" w:rsidRDefault="00147B51">
      <w:pPr>
        <w:autoSpaceDE w:val="0"/>
        <w:autoSpaceDN w:val="0"/>
        <w:adjustRightInd w:val="0"/>
        <w:ind w:left="360" w:hanging="360"/>
        <w:jc w:val="both"/>
        <w:outlineLvl w:val="0"/>
        <w:rPr>
          <w:b/>
          <w:bCs/>
          <w:lang w:val="en-GB" w:eastAsia="en-US"/>
        </w:rPr>
      </w:pPr>
    </w:p>
    <w:p w:rsidR="00000000" w:rsidRDefault="00147B51">
      <w:pPr>
        <w:autoSpaceDE w:val="0"/>
        <w:autoSpaceDN w:val="0"/>
        <w:adjustRightInd w:val="0"/>
        <w:ind w:left="360" w:hanging="360"/>
        <w:jc w:val="both"/>
        <w:outlineLvl w:val="0"/>
        <w:rPr>
          <w:b/>
          <w:bCs/>
          <w:lang w:val="en-GB" w:eastAsia="en-US"/>
        </w:rPr>
      </w:pPr>
      <w:r>
        <w:rPr>
          <w:b/>
          <w:bCs/>
          <w:lang w:val="en-GB" w:eastAsia="en-US"/>
        </w:rPr>
        <w:t>III. THE COMPLAINTS</w:t>
      </w:r>
    </w:p>
    <w:p w:rsidR="00000000" w:rsidRDefault="00147B51">
      <w:pPr>
        <w:pStyle w:val="Default"/>
        <w:rPr>
          <w:color w:val="auto"/>
          <w:lang w:val="en-GB"/>
        </w:rPr>
      </w:pPr>
    </w:p>
    <w:p w:rsidR="00000000" w:rsidRDefault="00147B51">
      <w:pPr>
        <w:pStyle w:val="Default"/>
        <w:numPr>
          <w:ilvl w:val="0"/>
          <w:numId w:val="16"/>
        </w:numPr>
        <w:jc w:val="both"/>
        <w:rPr>
          <w:color w:val="auto"/>
          <w:lang w:val="en-US"/>
        </w:rPr>
      </w:pPr>
      <w:r>
        <w:rPr>
          <w:color w:val="auto"/>
          <w:lang w:val="en-US"/>
        </w:rPr>
        <w:t>The complainants</w:t>
      </w:r>
      <w:r>
        <w:rPr>
          <w:bCs/>
          <w:caps/>
          <w:color w:val="auto"/>
          <w:lang w:val="en-US"/>
        </w:rPr>
        <w:t xml:space="preserve"> </w:t>
      </w:r>
      <w:r>
        <w:rPr>
          <w:color w:val="auto"/>
          <w:lang w:val="en-US"/>
        </w:rPr>
        <w:t>complain a</w:t>
      </w:r>
      <w:r>
        <w:rPr>
          <w:color w:val="auto"/>
          <w:lang w:val="en-US"/>
        </w:rPr>
        <w:t xml:space="preserve">bout UNMIK’s alleged failure to properly investigate the abduction and killing or probable killing of their family members. The complainants in essence also complain about the fear, pain and anguish suffered by </w:t>
      </w:r>
      <w:proofErr w:type="gramStart"/>
      <w:r>
        <w:rPr>
          <w:color w:val="auto"/>
          <w:lang w:val="en-US"/>
        </w:rPr>
        <w:t>themselves</w:t>
      </w:r>
      <w:proofErr w:type="gramEnd"/>
      <w:r>
        <w:rPr>
          <w:color w:val="auto"/>
          <w:lang w:val="en-US"/>
        </w:rPr>
        <w:t xml:space="preserve"> because of this situation.</w:t>
      </w:r>
    </w:p>
    <w:p w:rsidR="00000000" w:rsidRDefault="00147B51">
      <w:pPr>
        <w:pStyle w:val="Default"/>
        <w:jc w:val="both"/>
        <w:rPr>
          <w:color w:val="auto"/>
          <w:lang w:val="en-US"/>
        </w:rPr>
      </w:pPr>
    </w:p>
    <w:p w:rsidR="00000000" w:rsidRDefault="00147B51">
      <w:pPr>
        <w:pStyle w:val="Default"/>
        <w:numPr>
          <w:ilvl w:val="0"/>
          <w:numId w:val="16"/>
        </w:numPr>
        <w:jc w:val="both"/>
        <w:rPr>
          <w:lang w:val="en-US"/>
        </w:rPr>
      </w:pPr>
      <w:r>
        <w:rPr>
          <w:lang w:val="en-US"/>
        </w:rPr>
        <w:t>The Pa</w:t>
      </w:r>
      <w:r>
        <w:rPr>
          <w:lang w:val="en-US"/>
        </w:rPr>
        <w:t xml:space="preserve">nel considers that the complainants may be deemed to invoke, respectively, a violation of the right to life of </w:t>
      </w:r>
      <w:r>
        <w:rPr>
          <w:lang w:val="en-GB"/>
        </w:rPr>
        <w:t>their relatives</w:t>
      </w:r>
      <w:r>
        <w:rPr>
          <w:lang w:val="en-US"/>
        </w:rPr>
        <w:t>, guaranteed by Article 2 of the European Convention on Human Rights (ECHR), and a violation of their own right to be free from in</w:t>
      </w:r>
      <w:r>
        <w:rPr>
          <w:lang w:val="en-US"/>
        </w:rPr>
        <w:t>human or degrading treatment, guaranteed by Article 3 of the ECHR.</w:t>
      </w:r>
    </w:p>
    <w:p w:rsidR="00000000" w:rsidRDefault="00147B51">
      <w:pPr>
        <w:pStyle w:val="ListParagraph"/>
        <w:jc w:val="both"/>
        <w:rPr>
          <w:lang w:val="en-US"/>
        </w:rPr>
      </w:pPr>
    </w:p>
    <w:p w:rsidR="00000000" w:rsidRDefault="00147B51">
      <w:pPr>
        <w:autoSpaceDE w:val="0"/>
        <w:autoSpaceDN w:val="0"/>
        <w:adjustRightInd w:val="0"/>
        <w:ind w:left="360" w:hanging="360"/>
        <w:jc w:val="both"/>
        <w:outlineLvl w:val="0"/>
        <w:rPr>
          <w:b/>
          <w:bCs/>
          <w:lang w:val="en-GB" w:eastAsia="en-US"/>
        </w:rPr>
      </w:pPr>
    </w:p>
    <w:p w:rsidR="00000000" w:rsidRDefault="00147B51">
      <w:pPr>
        <w:autoSpaceDE w:val="0"/>
        <w:autoSpaceDN w:val="0"/>
        <w:adjustRightInd w:val="0"/>
        <w:ind w:left="360" w:hanging="360"/>
        <w:jc w:val="both"/>
        <w:outlineLvl w:val="0"/>
        <w:rPr>
          <w:b/>
          <w:bCs/>
          <w:lang w:val="en-GB" w:eastAsia="en-US"/>
        </w:rPr>
      </w:pPr>
      <w:r>
        <w:rPr>
          <w:b/>
          <w:bCs/>
          <w:lang w:val="en-GB" w:eastAsia="en-US"/>
        </w:rPr>
        <w:t>IV. THE LAW</w:t>
      </w:r>
    </w:p>
    <w:p w:rsidR="00000000" w:rsidRDefault="00147B51">
      <w:pPr>
        <w:pStyle w:val="JuPara"/>
        <w:ind w:firstLine="0"/>
        <w:rPr>
          <w:szCs w:val="24"/>
          <w:lang w:eastAsia="en-US"/>
        </w:rPr>
      </w:pPr>
    </w:p>
    <w:p w:rsidR="00000000" w:rsidRDefault="00147B51">
      <w:pPr>
        <w:numPr>
          <w:ilvl w:val="0"/>
          <w:numId w:val="16"/>
        </w:numPr>
        <w:suppressAutoHyphens/>
        <w:autoSpaceDE w:val="0"/>
        <w:jc w:val="both"/>
        <w:rPr>
          <w:lang w:val="en-GB"/>
        </w:rPr>
      </w:pPr>
      <w:r>
        <w:rPr>
          <w:lang w:val="en-GB"/>
        </w:rPr>
        <w:t>Before considering the cases on their merits, the Panel must first decide whether to accept the cases, considering the admissibility criteria set out in Sections 1, 2 and 3 o</w:t>
      </w:r>
      <w:r>
        <w:rPr>
          <w:lang w:val="en-GB"/>
        </w:rPr>
        <w:t>f UNMIK Regulation No. 2006/12.</w:t>
      </w:r>
    </w:p>
    <w:p w:rsidR="00000000" w:rsidRDefault="00147B51">
      <w:pPr>
        <w:suppressAutoHyphens/>
        <w:autoSpaceDE w:val="0"/>
        <w:jc w:val="both"/>
        <w:rPr>
          <w:b/>
          <w:i/>
          <w:lang w:val="en-GB"/>
        </w:rPr>
      </w:pPr>
    </w:p>
    <w:p w:rsidR="00000000" w:rsidRDefault="00147B51">
      <w:pPr>
        <w:suppressAutoHyphens/>
        <w:autoSpaceDE w:val="0"/>
        <w:jc w:val="both"/>
        <w:rPr>
          <w:b/>
          <w:i/>
          <w:lang w:val="en-GB"/>
        </w:rPr>
      </w:pPr>
    </w:p>
    <w:p w:rsidR="00000000" w:rsidRDefault="00147B51">
      <w:pPr>
        <w:suppressAutoHyphens/>
        <w:autoSpaceDE w:val="0"/>
        <w:jc w:val="both"/>
        <w:rPr>
          <w:b/>
          <w:i/>
          <w:lang w:val="en-GB"/>
        </w:rPr>
      </w:pPr>
    </w:p>
    <w:p w:rsidR="00000000" w:rsidRDefault="00147B51">
      <w:pPr>
        <w:suppressAutoHyphens/>
        <w:autoSpaceDE w:val="0"/>
        <w:jc w:val="both"/>
        <w:rPr>
          <w:b/>
          <w:i/>
          <w:lang w:val="en-GB"/>
        </w:rPr>
      </w:pPr>
    </w:p>
    <w:p w:rsidR="00000000" w:rsidRDefault="00147B51">
      <w:pPr>
        <w:numPr>
          <w:ilvl w:val="0"/>
          <w:numId w:val="46"/>
        </w:numPr>
        <w:suppressAutoHyphens/>
        <w:autoSpaceDE w:val="0"/>
        <w:ind w:left="360"/>
        <w:jc w:val="both"/>
        <w:rPr>
          <w:b/>
          <w:lang w:val="en-GB"/>
        </w:rPr>
      </w:pPr>
      <w:r>
        <w:rPr>
          <w:b/>
          <w:lang w:val="en-GB"/>
        </w:rPr>
        <w:t xml:space="preserve">Alleged violation of Article 2 of the ECHR </w:t>
      </w:r>
    </w:p>
    <w:p w:rsidR="00000000" w:rsidRDefault="00147B51">
      <w:pPr>
        <w:suppressAutoHyphens/>
        <w:autoSpaceDE w:val="0"/>
        <w:jc w:val="both"/>
        <w:rPr>
          <w:lang w:val="en-GB"/>
        </w:rPr>
      </w:pPr>
    </w:p>
    <w:p w:rsidR="00000000" w:rsidRDefault="00147B51">
      <w:pPr>
        <w:numPr>
          <w:ilvl w:val="0"/>
          <w:numId w:val="16"/>
        </w:numPr>
        <w:suppressAutoHyphens/>
        <w:autoSpaceDE w:val="0"/>
        <w:jc w:val="both"/>
        <w:rPr>
          <w:lang w:val="en-GB"/>
        </w:rPr>
      </w:pPr>
      <w:r>
        <w:rPr>
          <w:lang w:val="en-GB"/>
        </w:rPr>
        <w:t xml:space="preserve">The complainants allege in substance the lack of an adequate criminal investigation into the abduction and killing or probable killing of their relatives. </w:t>
      </w:r>
    </w:p>
    <w:p w:rsidR="00000000" w:rsidRDefault="00147B51">
      <w:pPr>
        <w:suppressAutoHyphens/>
        <w:autoSpaceDE w:val="0"/>
        <w:ind w:left="360"/>
        <w:jc w:val="both"/>
        <w:rPr>
          <w:lang w:val="en-GB"/>
        </w:rPr>
      </w:pPr>
    </w:p>
    <w:p w:rsidR="00000000" w:rsidRDefault="00147B51">
      <w:pPr>
        <w:pStyle w:val="Default"/>
        <w:numPr>
          <w:ilvl w:val="0"/>
          <w:numId w:val="16"/>
        </w:numPr>
        <w:jc w:val="both"/>
        <w:rPr>
          <w:lang w:val="en-GB"/>
        </w:rPr>
      </w:pPr>
      <w:r>
        <w:rPr>
          <w:lang w:val="en-GB"/>
        </w:rPr>
        <w:t>In his comments, t</w:t>
      </w:r>
      <w:r>
        <w:rPr>
          <w:lang w:val="en-GB"/>
        </w:rPr>
        <w:t>he SRSG does not object to the admissibility of the complaints in relation to the procedural obligations under Article 2 of the ECHR.</w:t>
      </w:r>
    </w:p>
    <w:p w:rsidR="00000000" w:rsidRDefault="00147B51">
      <w:pPr>
        <w:pStyle w:val="Default"/>
        <w:jc w:val="both"/>
        <w:rPr>
          <w:lang w:val="en-GB"/>
        </w:rPr>
      </w:pPr>
    </w:p>
    <w:p w:rsidR="00000000" w:rsidRDefault="00147B51">
      <w:pPr>
        <w:pStyle w:val="Default"/>
        <w:numPr>
          <w:ilvl w:val="0"/>
          <w:numId w:val="16"/>
        </w:numPr>
        <w:jc w:val="both"/>
        <w:rPr>
          <w:color w:val="auto"/>
          <w:lang w:val="en-GB"/>
        </w:rPr>
      </w:pPr>
      <w:r>
        <w:rPr>
          <w:color w:val="auto"/>
          <w:lang w:val="en-GB"/>
        </w:rPr>
        <w:t>The Panel considers that the complaints under Article 2 of the ECHR raise serious issues</w:t>
      </w:r>
      <w:r>
        <w:rPr>
          <w:lang w:val="en-GB"/>
        </w:rPr>
        <w:t xml:space="preserve"> of fact and law, the determinati</w:t>
      </w:r>
      <w:r>
        <w:rPr>
          <w:lang w:val="en-GB"/>
        </w:rPr>
        <w:t>on of which should depend on an examination of the merits. The Panel concludes therefore that this part of the complaints is not manifestly ill-</w:t>
      </w:r>
      <w:r>
        <w:rPr>
          <w:color w:val="auto"/>
          <w:lang w:val="en-GB"/>
        </w:rPr>
        <w:t>founded within the meaning of Section 3.3 of UNMIK Regulation No. 2006/12.</w:t>
      </w:r>
    </w:p>
    <w:p w:rsidR="00000000" w:rsidRDefault="00147B51">
      <w:pPr>
        <w:pStyle w:val="Default"/>
        <w:jc w:val="both"/>
        <w:rPr>
          <w:color w:val="auto"/>
          <w:lang w:val="en-GB"/>
        </w:rPr>
      </w:pPr>
    </w:p>
    <w:p w:rsidR="00000000" w:rsidRDefault="00147B51">
      <w:pPr>
        <w:pStyle w:val="Default"/>
        <w:numPr>
          <w:ilvl w:val="0"/>
          <w:numId w:val="16"/>
        </w:numPr>
        <w:jc w:val="both"/>
        <w:rPr>
          <w:color w:val="auto"/>
          <w:lang w:val="en-GB"/>
        </w:rPr>
      </w:pPr>
      <w:r>
        <w:rPr>
          <w:color w:val="auto"/>
          <w:lang w:val="en-GB"/>
        </w:rPr>
        <w:t>No other ground for declaring this p</w:t>
      </w:r>
      <w:r>
        <w:rPr>
          <w:color w:val="auto"/>
          <w:lang w:val="en-GB"/>
        </w:rPr>
        <w:t xml:space="preserve">art of the complaints inadmissible has been established. </w:t>
      </w:r>
    </w:p>
    <w:p w:rsidR="00000000" w:rsidRDefault="00147B51">
      <w:pPr>
        <w:suppressAutoHyphens/>
        <w:autoSpaceDE w:val="0"/>
        <w:jc w:val="both"/>
        <w:rPr>
          <w:b/>
          <w:lang w:val="en-GB"/>
        </w:rPr>
      </w:pPr>
    </w:p>
    <w:p w:rsidR="00000000" w:rsidRDefault="00147B51">
      <w:pPr>
        <w:numPr>
          <w:ilvl w:val="0"/>
          <w:numId w:val="46"/>
        </w:numPr>
        <w:suppressAutoHyphens/>
        <w:autoSpaceDE w:val="0"/>
        <w:ind w:left="360"/>
        <w:jc w:val="both"/>
        <w:rPr>
          <w:b/>
          <w:lang w:val="en-GB"/>
        </w:rPr>
      </w:pPr>
      <w:r>
        <w:rPr>
          <w:b/>
          <w:lang w:val="en-GB"/>
        </w:rPr>
        <w:t>Alleged violation of Article 3 of the ECHR</w:t>
      </w:r>
    </w:p>
    <w:p w:rsidR="00000000" w:rsidRDefault="00147B51">
      <w:pPr>
        <w:pStyle w:val="Default"/>
        <w:ind w:left="360"/>
        <w:jc w:val="both"/>
        <w:rPr>
          <w:lang w:val="en-GB"/>
        </w:rPr>
      </w:pPr>
    </w:p>
    <w:p w:rsidR="00000000" w:rsidRDefault="00147B51">
      <w:pPr>
        <w:pStyle w:val="Default"/>
        <w:numPr>
          <w:ilvl w:val="0"/>
          <w:numId w:val="16"/>
        </w:numPr>
        <w:jc w:val="both"/>
        <w:rPr>
          <w:lang w:val="en-GB"/>
        </w:rPr>
      </w:pPr>
      <w:r>
        <w:rPr>
          <w:lang w:val="en-GB"/>
        </w:rPr>
        <w:t>The complainants allege mental pain and suffering caused to them by the situation surrounding the abduction and killing or possible killing of their rela</w:t>
      </w:r>
      <w:r>
        <w:rPr>
          <w:lang w:val="en-GB"/>
        </w:rPr>
        <w:t>tives.</w:t>
      </w:r>
    </w:p>
    <w:p w:rsidR="00000000" w:rsidRDefault="00147B51">
      <w:pPr>
        <w:pStyle w:val="Default"/>
        <w:jc w:val="both"/>
        <w:rPr>
          <w:lang w:val="en-GB"/>
        </w:rPr>
      </w:pPr>
    </w:p>
    <w:p w:rsidR="00000000" w:rsidRDefault="00147B51">
      <w:pPr>
        <w:pStyle w:val="Default"/>
        <w:numPr>
          <w:ilvl w:val="0"/>
          <w:numId w:val="16"/>
        </w:numPr>
        <w:jc w:val="both"/>
        <w:rPr>
          <w:lang w:val="en-GB"/>
        </w:rPr>
      </w:pPr>
      <w:bookmarkStart w:id="0" w:name="_Ref324959657"/>
      <w:r>
        <w:rPr>
          <w:lang w:val="en-GB"/>
        </w:rPr>
        <w:t>The Panel refers to the case law of the European Court of Human Rights with respect to the question whether a member of the family of a disappeared person can be considered the victim of a treatment contrary to Article 3 of the ECHR, which prohibit</w:t>
      </w:r>
      <w:r>
        <w:rPr>
          <w:lang w:val="en-GB"/>
        </w:rPr>
        <w:t>s inhuman treatment. The European Court of Human Rights accepts that this may be the case, depending on the existence of “special factors which give the suffering of the [family member] a dimension and character distinct from the emotional distress which m</w:t>
      </w:r>
      <w:r>
        <w:rPr>
          <w:lang w:val="en-GB"/>
        </w:rPr>
        <w:t>ay be regarded as inevitably caused to relatives of a victim of a serious human rights violation”. The Court further holds that “relevant elements will include the proximity of the family tie, the particular circumstances of the relationship, the extent to</w:t>
      </w:r>
      <w:r>
        <w:rPr>
          <w:lang w:val="en-GB"/>
        </w:rPr>
        <w:t xml:space="preserve"> which the family member witnessed the events in question, the involvement of the family member in the attempts to obtain information about the disappeared person and the way in which the authorities responded to those enquiries”. It also emphasises “that </w:t>
      </w:r>
      <w:r>
        <w:rPr>
          <w:lang w:val="en-GB"/>
        </w:rPr>
        <w:t>the essence of such a violation does not so much lie in the fact of the disappearance of the family member but rather concerns the authorities’ reactions and attitudes to the situation when it is brought to their attention” (</w:t>
      </w:r>
      <w:bookmarkStart w:id="1" w:name="HIT18"/>
      <w:bookmarkEnd w:id="1"/>
      <w:r>
        <w:rPr>
          <w:lang w:val="en-GB"/>
        </w:rPr>
        <w:t xml:space="preserve">see, e.g., </w:t>
      </w:r>
      <w:bookmarkStart w:id="2" w:name="File5"/>
      <w:r>
        <w:rPr>
          <w:lang w:val="en-GB"/>
        </w:rPr>
        <w:t>European Court of Hu</w:t>
      </w:r>
      <w:r>
        <w:rPr>
          <w:lang w:val="en-GB"/>
        </w:rPr>
        <w:t xml:space="preserve">man Rights (ECtHR) (Grand Chamber), </w:t>
      </w:r>
      <w:proofErr w:type="spellStart"/>
      <w:r>
        <w:rPr>
          <w:i/>
          <w:lang w:val="en-GB"/>
        </w:rPr>
        <w:t>Çakici</w:t>
      </w:r>
      <w:proofErr w:type="spellEnd"/>
      <w:r>
        <w:rPr>
          <w:i/>
          <w:lang w:val="en-GB"/>
        </w:rPr>
        <w:t xml:space="preserve"> v. Turkey</w:t>
      </w:r>
      <w:r>
        <w:rPr>
          <w:lang w:val="en-GB"/>
        </w:rPr>
        <w:t xml:space="preserve">, no. 23657/94, judgment of 8 July 1999, § 98, </w:t>
      </w:r>
      <w:r>
        <w:rPr>
          <w:i/>
          <w:lang w:val="en-GB"/>
        </w:rPr>
        <w:t>ECHR</w:t>
      </w:r>
      <w:r>
        <w:rPr>
          <w:lang w:val="en-GB"/>
        </w:rPr>
        <w:t xml:space="preserve">, 1999-IV; ECtHR (Grand Chamber), </w:t>
      </w:r>
      <w:r>
        <w:rPr>
          <w:i/>
          <w:lang w:val="en-GB"/>
        </w:rPr>
        <w:t>Cyprus v. Turkey</w:t>
      </w:r>
      <w:r>
        <w:rPr>
          <w:lang w:val="en-GB"/>
        </w:rPr>
        <w:t xml:space="preserve">, no. 25781/94, judgment of 10 May 2001, § 156, </w:t>
      </w:r>
      <w:r>
        <w:rPr>
          <w:i/>
          <w:lang w:val="en-GB"/>
        </w:rPr>
        <w:t>ECHR</w:t>
      </w:r>
      <w:r>
        <w:rPr>
          <w:lang w:val="en-GB"/>
        </w:rPr>
        <w:t>, 2001-IV</w:t>
      </w:r>
      <w:bookmarkEnd w:id="2"/>
      <w:r>
        <w:rPr>
          <w:lang w:val="en-GB"/>
        </w:rPr>
        <w:t xml:space="preserve">; ECtHR, </w:t>
      </w:r>
      <w:proofErr w:type="spellStart"/>
      <w:r>
        <w:rPr>
          <w:i/>
          <w:lang w:val="en-GB"/>
        </w:rPr>
        <w:t>Orhan</w:t>
      </w:r>
      <w:proofErr w:type="spellEnd"/>
      <w:r>
        <w:rPr>
          <w:i/>
          <w:lang w:val="en-GB"/>
        </w:rPr>
        <w:t xml:space="preserve"> v. Turkey</w:t>
      </w:r>
      <w:r>
        <w:rPr>
          <w:lang w:val="en-GB"/>
        </w:rPr>
        <w:t>, no. 25656/94, ju</w:t>
      </w:r>
      <w:r>
        <w:rPr>
          <w:lang w:val="en-GB"/>
        </w:rPr>
        <w:t xml:space="preserve">dgment of 18 June 2002, § 358; ECtHR, </w:t>
      </w:r>
      <w:proofErr w:type="spellStart"/>
      <w:r>
        <w:rPr>
          <w:i/>
          <w:lang w:val="en-GB"/>
        </w:rPr>
        <w:t>Bazorkina</w:t>
      </w:r>
      <w:proofErr w:type="spellEnd"/>
      <w:r>
        <w:rPr>
          <w:i/>
          <w:lang w:val="en-GB"/>
        </w:rPr>
        <w:t xml:space="preserve"> v. Russia</w:t>
      </w:r>
      <w:r>
        <w:rPr>
          <w:lang w:val="en-GB"/>
        </w:rPr>
        <w:t xml:space="preserve">, no. 69481/01, judgment of 27 July 2006, § 139; see also Human Rights Advisory Panel (HRAP), </w:t>
      </w:r>
      <w:r>
        <w:rPr>
          <w:i/>
          <w:lang w:val="en-GB"/>
        </w:rPr>
        <w:t>Zdravković</w:t>
      </w:r>
      <w:r>
        <w:rPr>
          <w:lang w:val="en-GB"/>
        </w:rPr>
        <w:t xml:space="preserve">, no. 46/08, decision of 17 April 2009, § 41, and HRAP, </w:t>
      </w:r>
      <w:proofErr w:type="spellStart"/>
      <w:r>
        <w:rPr>
          <w:i/>
          <w:lang w:val="en-GB"/>
        </w:rPr>
        <w:t>Radisavljević</w:t>
      </w:r>
      <w:proofErr w:type="spellEnd"/>
      <w:r>
        <w:rPr>
          <w:lang w:val="en-GB"/>
        </w:rPr>
        <w:t>, no. 156/09, decision of 17 February 2012, § 18).</w:t>
      </w:r>
      <w:bookmarkEnd w:id="0"/>
    </w:p>
    <w:p w:rsidR="00000000" w:rsidRDefault="00147B51">
      <w:pPr>
        <w:pStyle w:val="Default"/>
        <w:jc w:val="both"/>
        <w:rPr>
          <w:lang w:val="en-GB"/>
        </w:rPr>
      </w:pPr>
    </w:p>
    <w:p w:rsidR="00000000" w:rsidRDefault="00147B51">
      <w:pPr>
        <w:pStyle w:val="Default"/>
        <w:numPr>
          <w:ilvl w:val="0"/>
          <w:numId w:val="16"/>
        </w:numPr>
        <w:jc w:val="both"/>
        <w:rPr>
          <w:lang w:val="en-GB"/>
        </w:rPr>
      </w:pPr>
      <w:r>
        <w:rPr>
          <w:lang w:val="en-GB"/>
        </w:rPr>
        <w:t xml:space="preserve">In this respect, a distinction should be made between the situation of Mr </w:t>
      </w:r>
      <w:proofErr w:type="spellStart"/>
      <w:r>
        <w:rPr>
          <w:lang w:val="en-GB"/>
        </w:rPr>
        <w:t>Srećko</w:t>
      </w:r>
      <w:proofErr w:type="spellEnd"/>
      <w:r>
        <w:rPr>
          <w:lang w:val="en-GB"/>
        </w:rPr>
        <w:t xml:space="preserve"> </w:t>
      </w:r>
      <w:proofErr w:type="spellStart"/>
      <w:r>
        <w:rPr>
          <w:lang w:val="en-GB"/>
        </w:rPr>
        <w:t>Đekić</w:t>
      </w:r>
      <w:proofErr w:type="spellEnd"/>
      <w:r>
        <w:rPr>
          <w:lang w:val="en-GB"/>
        </w:rPr>
        <w:t xml:space="preserve"> (case no. 256/09), on the one hand, an</w:t>
      </w:r>
      <w:r>
        <w:rPr>
          <w:lang w:val="en-GB"/>
        </w:rPr>
        <w:t>d the situation of the other victims, on the other hand.</w:t>
      </w:r>
    </w:p>
    <w:p w:rsidR="00000000" w:rsidRDefault="00147B51">
      <w:pPr>
        <w:pStyle w:val="Default"/>
        <w:jc w:val="both"/>
        <w:rPr>
          <w:lang w:val="en-GB"/>
        </w:rPr>
      </w:pPr>
    </w:p>
    <w:p w:rsidR="00000000" w:rsidRDefault="00147B51">
      <w:pPr>
        <w:pStyle w:val="Default"/>
        <w:jc w:val="both"/>
        <w:rPr>
          <w:i/>
          <w:lang w:val="en-GB"/>
        </w:rPr>
      </w:pPr>
      <w:r>
        <w:rPr>
          <w:i/>
          <w:lang w:val="en-GB"/>
        </w:rPr>
        <w:t xml:space="preserve">1. With regard to the abduction and killing of Mr </w:t>
      </w:r>
      <w:proofErr w:type="spellStart"/>
      <w:r>
        <w:rPr>
          <w:i/>
          <w:lang w:val="en-GB"/>
        </w:rPr>
        <w:t>Srećko</w:t>
      </w:r>
      <w:proofErr w:type="spellEnd"/>
      <w:r>
        <w:rPr>
          <w:i/>
          <w:lang w:val="en-GB"/>
        </w:rPr>
        <w:t xml:space="preserve"> </w:t>
      </w:r>
      <w:proofErr w:type="spellStart"/>
      <w:r>
        <w:rPr>
          <w:i/>
          <w:lang w:val="en-GB"/>
        </w:rPr>
        <w:t>Đekić</w:t>
      </w:r>
      <w:proofErr w:type="spellEnd"/>
      <w:r>
        <w:rPr>
          <w:i/>
          <w:lang w:val="en-GB"/>
        </w:rPr>
        <w:t xml:space="preserve"> (case no. 256/09)</w:t>
      </w:r>
    </w:p>
    <w:p w:rsidR="00000000" w:rsidRDefault="00147B51">
      <w:pPr>
        <w:pStyle w:val="Default"/>
        <w:ind w:left="360"/>
        <w:jc w:val="both"/>
        <w:rPr>
          <w:lang w:val="en-GB"/>
        </w:rPr>
      </w:pPr>
    </w:p>
    <w:p w:rsidR="00000000" w:rsidRDefault="00147B51">
      <w:pPr>
        <w:pStyle w:val="Default"/>
        <w:numPr>
          <w:ilvl w:val="0"/>
          <w:numId w:val="16"/>
        </w:numPr>
        <w:jc w:val="both"/>
        <w:rPr>
          <w:lang w:val="en-GB"/>
        </w:rPr>
      </w:pPr>
      <w:r>
        <w:rPr>
          <w:lang w:val="en-GB"/>
        </w:rPr>
        <w:t xml:space="preserve">Where the disappeared person is later found dead, as in the case of Mr </w:t>
      </w:r>
      <w:proofErr w:type="spellStart"/>
      <w:r>
        <w:rPr>
          <w:lang w:val="en-GB"/>
        </w:rPr>
        <w:t>Srećko</w:t>
      </w:r>
      <w:proofErr w:type="spellEnd"/>
      <w:r>
        <w:rPr>
          <w:lang w:val="en-GB"/>
        </w:rPr>
        <w:t xml:space="preserve"> </w:t>
      </w:r>
      <w:proofErr w:type="spellStart"/>
      <w:r>
        <w:rPr>
          <w:lang w:val="en-GB"/>
        </w:rPr>
        <w:t>Đekić</w:t>
      </w:r>
      <w:proofErr w:type="spellEnd"/>
      <w:r>
        <w:rPr>
          <w:lang w:val="en-GB"/>
        </w:rPr>
        <w:t xml:space="preserve">, the applicability of Article 3 </w:t>
      </w:r>
      <w:r>
        <w:rPr>
          <w:lang w:val="en-GB"/>
        </w:rPr>
        <w:t xml:space="preserve">of the ECHR is in general limited to the distinct period during which the member of the family sustained uncertainty, anguish and distress appertaining to the specific phenomenon of disappearances (see, </w:t>
      </w:r>
      <w:r>
        <w:rPr>
          <w:i/>
          <w:lang w:val="en-GB"/>
        </w:rPr>
        <w:t>e.g.</w:t>
      </w:r>
      <w:r>
        <w:rPr>
          <w:lang w:val="en-GB"/>
        </w:rPr>
        <w:t xml:space="preserve">, ECtHR, </w:t>
      </w:r>
      <w:proofErr w:type="spellStart"/>
      <w:r>
        <w:rPr>
          <w:i/>
          <w:lang w:val="en-GB"/>
        </w:rPr>
        <w:t>Luluyev</w:t>
      </w:r>
      <w:proofErr w:type="spellEnd"/>
      <w:r>
        <w:rPr>
          <w:i/>
          <w:lang w:val="en-GB"/>
        </w:rPr>
        <w:t xml:space="preserve"> and Others v. Russia</w:t>
      </w:r>
      <w:r>
        <w:rPr>
          <w:lang w:val="en-GB"/>
        </w:rPr>
        <w:t>, no. 69480/</w:t>
      </w:r>
      <w:r>
        <w:rPr>
          <w:lang w:val="en-GB"/>
        </w:rPr>
        <w:t xml:space="preserve">01, judgment of 9 November 2006, §§ 114-115, </w:t>
      </w:r>
      <w:r>
        <w:rPr>
          <w:i/>
          <w:lang w:val="en-GB"/>
        </w:rPr>
        <w:t>ECHR</w:t>
      </w:r>
      <w:r>
        <w:rPr>
          <w:lang w:val="en-GB"/>
        </w:rPr>
        <w:t xml:space="preserve">, 2006-XIII; see also ECtHR, </w:t>
      </w:r>
      <w:proofErr w:type="spellStart"/>
      <w:r>
        <w:rPr>
          <w:i/>
          <w:lang w:val="en-GB"/>
        </w:rPr>
        <w:t>Gongadze</w:t>
      </w:r>
      <w:proofErr w:type="spellEnd"/>
      <w:r>
        <w:rPr>
          <w:i/>
          <w:lang w:val="en-GB"/>
        </w:rPr>
        <w:t xml:space="preserve"> v. Ukraine</w:t>
      </w:r>
      <w:r>
        <w:rPr>
          <w:lang w:val="en-GB"/>
        </w:rPr>
        <w:t xml:space="preserve">, no. 34056/02, judgment of 8 November 2005, § 185, </w:t>
      </w:r>
      <w:r>
        <w:rPr>
          <w:i/>
          <w:lang w:val="en-GB"/>
        </w:rPr>
        <w:t>ECHR</w:t>
      </w:r>
      <w:r>
        <w:rPr>
          <w:lang w:val="en-GB"/>
        </w:rPr>
        <w:t>, 2005-XI).</w:t>
      </w:r>
    </w:p>
    <w:p w:rsidR="00000000" w:rsidRDefault="00147B51">
      <w:pPr>
        <w:pStyle w:val="Default"/>
        <w:suppressAutoHyphens/>
        <w:ind w:left="360"/>
        <w:jc w:val="both"/>
        <w:rPr>
          <w:lang w:val="en-GB"/>
        </w:rPr>
      </w:pPr>
    </w:p>
    <w:p w:rsidR="00000000" w:rsidRDefault="00147B51">
      <w:pPr>
        <w:pStyle w:val="Default"/>
        <w:numPr>
          <w:ilvl w:val="0"/>
          <w:numId w:val="16"/>
        </w:numPr>
        <w:jc w:val="both"/>
        <w:rPr>
          <w:lang w:val="en-GB"/>
        </w:rPr>
      </w:pPr>
      <w:r>
        <w:rPr>
          <w:lang w:val="en-GB"/>
        </w:rPr>
        <w:t>In this respect, the question arises whether the complaint has been filed in time. Section</w:t>
      </w:r>
      <w:r>
        <w:rPr>
          <w:lang w:val="en-GB"/>
        </w:rPr>
        <w:t xml:space="preserve"> 3.1 of UNMIK Regulation No. 2006/12 states that the </w:t>
      </w:r>
      <w:r>
        <w:rPr>
          <w:rFonts w:cs="CAGLHH+TimesNewRoman"/>
          <w:lang w:val="en-GB"/>
        </w:rPr>
        <w:t xml:space="preserve">Panel “may only deal with a matter ... within a period of six months from the date on which the final decision was taken”. </w:t>
      </w:r>
      <w:r>
        <w:rPr>
          <w:lang w:val="en-GB"/>
        </w:rPr>
        <w:t xml:space="preserve">As a rule, the six-month period runs from the date of the final decision in the </w:t>
      </w:r>
      <w:r>
        <w:rPr>
          <w:lang w:val="en-GB"/>
        </w:rPr>
        <w:t>process of exhaustion of domestic remedies. Where it is clear from the outset however that no effective remedy is available to the complainant, the period runs from the date of the acts or measures complained of, or from the date of knowledge of that act o</w:t>
      </w:r>
      <w:r>
        <w:rPr>
          <w:lang w:val="en-GB"/>
        </w:rPr>
        <w:t xml:space="preserve">r its effect on or prejudice to the complainant (ECtHR (Grand Chamber), </w:t>
      </w:r>
      <w:proofErr w:type="spellStart"/>
      <w:r>
        <w:rPr>
          <w:i/>
          <w:lang w:val="en-GB"/>
        </w:rPr>
        <w:t>Varnava</w:t>
      </w:r>
      <w:proofErr w:type="spellEnd"/>
      <w:r>
        <w:rPr>
          <w:i/>
          <w:lang w:val="en-GB"/>
        </w:rPr>
        <w:t xml:space="preserve"> and Others v. Turkey</w:t>
      </w:r>
      <w:r>
        <w:rPr>
          <w:lang w:val="en-GB"/>
        </w:rPr>
        <w:t>, nos. 16064/90 and others, judgment of 18 September 2009, § 157). Where the complaint relates to a continuing situation, which has come to an end, the six-</w:t>
      </w:r>
      <w:r>
        <w:rPr>
          <w:lang w:val="en-GB"/>
        </w:rPr>
        <w:t>month time limit starts to run from the date on which the situation has come to an end.</w:t>
      </w:r>
    </w:p>
    <w:p w:rsidR="00000000" w:rsidRDefault="00147B51">
      <w:pPr>
        <w:pStyle w:val="Default"/>
        <w:jc w:val="both"/>
        <w:rPr>
          <w:lang w:val="en-GB"/>
        </w:rPr>
      </w:pPr>
    </w:p>
    <w:p w:rsidR="00000000" w:rsidRDefault="00147B51">
      <w:pPr>
        <w:pStyle w:val="Default"/>
        <w:numPr>
          <w:ilvl w:val="0"/>
          <w:numId w:val="16"/>
        </w:numPr>
        <w:jc w:val="both"/>
        <w:rPr>
          <w:lang w:val="en-GB"/>
        </w:rPr>
      </w:pPr>
      <w:bookmarkStart w:id="3" w:name="_Ref332580187"/>
      <w:r>
        <w:rPr>
          <w:lang w:val="en-GB"/>
        </w:rPr>
        <w:t xml:space="preserve">The Panel notes that the mortal remains of Mr </w:t>
      </w:r>
      <w:proofErr w:type="spellStart"/>
      <w:r>
        <w:rPr>
          <w:lang w:val="en-GB"/>
        </w:rPr>
        <w:t>Srećko</w:t>
      </w:r>
      <w:proofErr w:type="spellEnd"/>
      <w:r>
        <w:rPr>
          <w:lang w:val="en-GB"/>
        </w:rPr>
        <w:t xml:space="preserve"> </w:t>
      </w:r>
      <w:proofErr w:type="spellStart"/>
      <w:r>
        <w:rPr>
          <w:lang w:val="en-GB"/>
        </w:rPr>
        <w:t>Đekić</w:t>
      </w:r>
      <w:proofErr w:type="spellEnd"/>
      <w:r>
        <w:rPr>
          <w:lang w:val="en-GB"/>
        </w:rPr>
        <w:t xml:space="preserve"> were handed over to his family on 3 December 2007. It is at that moment that the period during which an issue could arise under Article 3 of the ECHR, came to an end. For the purpose of Section 3.1 of UNMIK Regulation No. 2006/12, the six-mont</w:t>
      </w:r>
      <w:r>
        <w:rPr>
          <w:lang w:val="en-GB"/>
        </w:rPr>
        <w:t xml:space="preserve">h time limit therefore started to run from that date (see HRAP, </w:t>
      </w:r>
      <w:proofErr w:type="spellStart"/>
      <w:r>
        <w:rPr>
          <w:i/>
          <w:lang w:val="en-GB"/>
        </w:rPr>
        <w:t>Petković</w:t>
      </w:r>
      <w:proofErr w:type="spellEnd"/>
      <w:r>
        <w:rPr>
          <w:lang w:val="en-GB"/>
        </w:rPr>
        <w:t xml:space="preserve">, no. 133/09, decision of 16 December 2011, § 23; HRAP, </w:t>
      </w:r>
      <w:proofErr w:type="spellStart"/>
      <w:r>
        <w:rPr>
          <w:i/>
          <w:lang w:val="en-GB"/>
        </w:rPr>
        <w:t>Marković</w:t>
      </w:r>
      <w:proofErr w:type="spellEnd"/>
      <w:r>
        <w:rPr>
          <w:lang w:val="en-GB"/>
        </w:rPr>
        <w:t>, no. 06/10, decision of 19 February 2012, § 27).</w:t>
      </w:r>
      <w:bookmarkEnd w:id="3"/>
    </w:p>
    <w:p w:rsidR="00000000" w:rsidRDefault="00147B51">
      <w:pPr>
        <w:pStyle w:val="Default"/>
        <w:jc w:val="both"/>
        <w:rPr>
          <w:lang w:val="en-GB"/>
        </w:rPr>
      </w:pPr>
    </w:p>
    <w:p w:rsidR="00000000" w:rsidRDefault="00147B51">
      <w:pPr>
        <w:pStyle w:val="Default"/>
        <w:numPr>
          <w:ilvl w:val="0"/>
          <w:numId w:val="16"/>
        </w:numPr>
        <w:jc w:val="both"/>
        <w:rPr>
          <w:b/>
          <w:lang w:val="en-GB" w:eastAsia="en-US"/>
        </w:rPr>
      </w:pPr>
      <w:r>
        <w:rPr>
          <w:lang w:val="en-GB"/>
        </w:rPr>
        <w:t xml:space="preserve">The complaint in case no. 256/09 was filed with the Panel in April </w:t>
      </w:r>
      <w:proofErr w:type="gramStart"/>
      <w:r>
        <w:rPr>
          <w:lang w:val="en-GB"/>
        </w:rPr>
        <w:t>20</w:t>
      </w:r>
      <w:r>
        <w:rPr>
          <w:lang w:val="en-GB"/>
        </w:rPr>
        <w:t>09, that</w:t>
      </w:r>
      <w:proofErr w:type="gramEnd"/>
      <w:r>
        <w:rPr>
          <w:lang w:val="en-GB"/>
        </w:rPr>
        <w:t xml:space="preserve"> is after the expiration of the above-referred six-month period.</w:t>
      </w:r>
    </w:p>
    <w:p w:rsidR="00000000" w:rsidRDefault="00147B51">
      <w:pPr>
        <w:pStyle w:val="Default"/>
        <w:jc w:val="both"/>
        <w:rPr>
          <w:lang w:val="en-GB"/>
        </w:rPr>
      </w:pPr>
    </w:p>
    <w:p w:rsidR="00000000" w:rsidRDefault="00147B51">
      <w:pPr>
        <w:pStyle w:val="Default"/>
        <w:numPr>
          <w:ilvl w:val="0"/>
          <w:numId w:val="16"/>
        </w:numPr>
        <w:jc w:val="both"/>
        <w:rPr>
          <w:b/>
          <w:lang w:val="en-GB" w:eastAsia="en-US"/>
        </w:rPr>
      </w:pPr>
      <w:r>
        <w:rPr>
          <w:lang w:val="en-GB"/>
        </w:rPr>
        <w:t>The Panel therefore must conclude that this part of the complaint falls outside the time-limit set by Section 3.1 of UNMIK Regulation No. 2006/12.</w:t>
      </w:r>
    </w:p>
    <w:p w:rsidR="00000000" w:rsidRDefault="00147B51">
      <w:pPr>
        <w:pStyle w:val="Default"/>
        <w:jc w:val="both"/>
        <w:rPr>
          <w:b/>
          <w:lang w:val="en-GB" w:eastAsia="en-US"/>
        </w:rPr>
      </w:pPr>
    </w:p>
    <w:p w:rsidR="00000000" w:rsidRDefault="00147B51">
      <w:pPr>
        <w:pStyle w:val="Default"/>
        <w:jc w:val="both"/>
        <w:rPr>
          <w:b/>
          <w:i/>
          <w:lang w:val="en-GB" w:eastAsia="en-US"/>
        </w:rPr>
      </w:pPr>
      <w:r>
        <w:rPr>
          <w:i/>
          <w:lang w:val="en-GB"/>
        </w:rPr>
        <w:t>2. With respect to the abduction a</w:t>
      </w:r>
      <w:r>
        <w:rPr>
          <w:i/>
          <w:lang w:val="en-GB"/>
        </w:rPr>
        <w:t xml:space="preserve">nd probable killing of Mrs </w:t>
      </w:r>
      <w:proofErr w:type="spellStart"/>
      <w:r>
        <w:rPr>
          <w:i/>
          <w:lang w:val="en-GB"/>
        </w:rPr>
        <w:t>Draga</w:t>
      </w:r>
      <w:proofErr w:type="spellEnd"/>
      <w:r>
        <w:rPr>
          <w:i/>
          <w:lang w:val="en-GB"/>
        </w:rPr>
        <w:t xml:space="preserve"> </w:t>
      </w:r>
      <w:proofErr w:type="spellStart"/>
      <w:r>
        <w:rPr>
          <w:i/>
          <w:lang w:val="en-GB"/>
        </w:rPr>
        <w:t>Đukić</w:t>
      </w:r>
      <w:proofErr w:type="spellEnd"/>
      <w:r>
        <w:rPr>
          <w:i/>
          <w:lang w:val="en-GB"/>
        </w:rPr>
        <w:t xml:space="preserve"> (case no. 68/09), Mrs </w:t>
      </w:r>
      <w:proofErr w:type="spellStart"/>
      <w:r>
        <w:rPr>
          <w:i/>
          <w:lang w:val="en-GB"/>
        </w:rPr>
        <w:t>Vasiljka</w:t>
      </w:r>
      <w:proofErr w:type="spellEnd"/>
      <w:r>
        <w:rPr>
          <w:i/>
          <w:lang w:val="en-GB"/>
        </w:rPr>
        <w:t xml:space="preserve"> </w:t>
      </w:r>
      <w:proofErr w:type="spellStart"/>
      <w:r>
        <w:rPr>
          <w:i/>
          <w:lang w:val="en-GB"/>
        </w:rPr>
        <w:t>Nikolić</w:t>
      </w:r>
      <w:proofErr w:type="spellEnd"/>
      <w:r>
        <w:rPr>
          <w:i/>
          <w:lang w:val="en-GB"/>
        </w:rPr>
        <w:t xml:space="preserve"> (case no. 83/09), Mr </w:t>
      </w:r>
      <w:proofErr w:type="spellStart"/>
      <w:r>
        <w:rPr>
          <w:i/>
          <w:lang w:val="en-GB"/>
        </w:rPr>
        <w:t>Jevta</w:t>
      </w:r>
      <w:proofErr w:type="spellEnd"/>
      <w:r>
        <w:rPr>
          <w:i/>
          <w:lang w:val="en-GB"/>
        </w:rPr>
        <w:t xml:space="preserve"> </w:t>
      </w:r>
      <w:proofErr w:type="spellStart"/>
      <w:r>
        <w:rPr>
          <w:i/>
          <w:lang w:val="en-GB"/>
        </w:rPr>
        <w:t>Spasić</w:t>
      </w:r>
      <w:proofErr w:type="spellEnd"/>
      <w:r>
        <w:rPr>
          <w:i/>
          <w:lang w:val="en-GB"/>
        </w:rPr>
        <w:t xml:space="preserve"> (case no. 235/09) and Mrs </w:t>
      </w:r>
      <w:proofErr w:type="spellStart"/>
      <w:r>
        <w:rPr>
          <w:i/>
          <w:lang w:val="en-GB"/>
        </w:rPr>
        <w:t>Bosiljka</w:t>
      </w:r>
      <w:proofErr w:type="spellEnd"/>
      <w:r>
        <w:rPr>
          <w:i/>
          <w:lang w:val="en-GB"/>
        </w:rPr>
        <w:t xml:space="preserve"> </w:t>
      </w:r>
      <w:proofErr w:type="spellStart"/>
      <w:r>
        <w:rPr>
          <w:i/>
          <w:lang w:val="en-GB"/>
        </w:rPr>
        <w:t>Spasić</w:t>
      </w:r>
      <w:proofErr w:type="spellEnd"/>
      <w:r>
        <w:rPr>
          <w:i/>
          <w:lang w:val="en-GB"/>
        </w:rPr>
        <w:t xml:space="preserve"> (case no. 236/09)</w:t>
      </w:r>
    </w:p>
    <w:p w:rsidR="00000000" w:rsidRDefault="00147B51">
      <w:pPr>
        <w:pStyle w:val="Default"/>
        <w:jc w:val="both"/>
        <w:rPr>
          <w:lang w:val="en-GB"/>
        </w:rPr>
      </w:pPr>
    </w:p>
    <w:p w:rsidR="00000000" w:rsidRDefault="00147B51">
      <w:pPr>
        <w:pStyle w:val="Default"/>
        <w:numPr>
          <w:ilvl w:val="0"/>
          <w:numId w:val="16"/>
        </w:numPr>
        <w:jc w:val="both"/>
        <w:rPr>
          <w:lang w:val="en-GB"/>
        </w:rPr>
      </w:pPr>
      <w:r>
        <w:rPr>
          <w:lang w:val="en-GB"/>
        </w:rPr>
        <w:t>In his comments, the SRSG does not object to the admissibility of this part of the complaints.</w:t>
      </w:r>
    </w:p>
    <w:p w:rsidR="00000000" w:rsidRDefault="00147B51">
      <w:pPr>
        <w:pStyle w:val="Default"/>
        <w:jc w:val="both"/>
        <w:rPr>
          <w:lang w:val="en-GB"/>
        </w:rPr>
      </w:pPr>
    </w:p>
    <w:p w:rsidR="00000000" w:rsidRDefault="00147B51">
      <w:pPr>
        <w:pStyle w:val="Default"/>
        <w:numPr>
          <w:ilvl w:val="0"/>
          <w:numId w:val="16"/>
        </w:numPr>
        <w:jc w:val="both"/>
        <w:rPr>
          <w:lang w:val="en-GB"/>
        </w:rPr>
      </w:pPr>
      <w:r>
        <w:rPr>
          <w:lang w:val="en-GB"/>
        </w:rPr>
        <w:t xml:space="preserve">The Panel considers </w:t>
      </w:r>
      <w:r>
        <w:rPr>
          <w:lang w:val="en-GB"/>
        </w:rPr>
        <w:t xml:space="preserve">that the analysis presented in § </w:t>
      </w:r>
      <w:fldSimple w:instr=" REF _Ref324959657 \r \h  \* MERGEFORMAT ">
        <w:r w:rsidR="00947891">
          <w:rPr>
            <w:lang w:val="en-GB"/>
          </w:rPr>
          <w:t>28</w:t>
        </w:r>
      </w:fldSimple>
      <w:r>
        <w:rPr>
          <w:lang w:val="en-GB"/>
        </w:rPr>
        <w:t xml:space="preserve"> applies to the situation surrounding the abduction and probable killing of Mrs </w:t>
      </w:r>
      <w:proofErr w:type="spellStart"/>
      <w:r>
        <w:rPr>
          <w:lang w:val="en-GB"/>
        </w:rPr>
        <w:t>Draga</w:t>
      </w:r>
      <w:proofErr w:type="spellEnd"/>
      <w:r>
        <w:rPr>
          <w:lang w:val="en-GB"/>
        </w:rPr>
        <w:t xml:space="preserve"> </w:t>
      </w:r>
      <w:proofErr w:type="spellStart"/>
      <w:r>
        <w:rPr>
          <w:lang w:val="en-GB"/>
        </w:rPr>
        <w:t>Đukić</w:t>
      </w:r>
      <w:proofErr w:type="spellEnd"/>
      <w:r>
        <w:rPr>
          <w:lang w:val="en-GB"/>
        </w:rPr>
        <w:t xml:space="preserve">, Mrs </w:t>
      </w:r>
      <w:proofErr w:type="spellStart"/>
      <w:r>
        <w:rPr>
          <w:lang w:val="en-GB"/>
        </w:rPr>
        <w:t>Vasiljka</w:t>
      </w:r>
      <w:proofErr w:type="spellEnd"/>
      <w:r>
        <w:rPr>
          <w:lang w:val="en-GB"/>
        </w:rPr>
        <w:t xml:space="preserve"> </w:t>
      </w:r>
      <w:proofErr w:type="spellStart"/>
      <w:r>
        <w:rPr>
          <w:lang w:val="en-GB"/>
        </w:rPr>
        <w:t>Nikolić</w:t>
      </w:r>
      <w:proofErr w:type="spellEnd"/>
      <w:r>
        <w:rPr>
          <w:lang w:val="en-GB"/>
        </w:rPr>
        <w:t xml:space="preserve">, Mr </w:t>
      </w:r>
      <w:proofErr w:type="spellStart"/>
      <w:r>
        <w:rPr>
          <w:lang w:val="en-GB"/>
        </w:rPr>
        <w:t>Jevta</w:t>
      </w:r>
      <w:proofErr w:type="spellEnd"/>
      <w:r>
        <w:rPr>
          <w:lang w:val="en-GB"/>
        </w:rPr>
        <w:t xml:space="preserve"> </w:t>
      </w:r>
      <w:proofErr w:type="spellStart"/>
      <w:r>
        <w:rPr>
          <w:lang w:val="en-GB"/>
        </w:rPr>
        <w:t>Spasić</w:t>
      </w:r>
      <w:proofErr w:type="spellEnd"/>
      <w:r>
        <w:rPr>
          <w:lang w:val="en-GB"/>
        </w:rPr>
        <w:t xml:space="preserve"> and Mrs </w:t>
      </w:r>
      <w:proofErr w:type="spellStart"/>
      <w:r>
        <w:rPr>
          <w:lang w:val="en-GB"/>
        </w:rPr>
        <w:t>Bosiljka</w:t>
      </w:r>
      <w:proofErr w:type="spellEnd"/>
      <w:r>
        <w:rPr>
          <w:lang w:val="en-GB"/>
        </w:rPr>
        <w:t xml:space="preserve"> </w:t>
      </w:r>
      <w:proofErr w:type="spellStart"/>
      <w:r>
        <w:rPr>
          <w:lang w:val="en-GB"/>
        </w:rPr>
        <w:t>Spasić</w:t>
      </w:r>
      <w:proofErr w:type="spellEnd"/>
      <w:r>
        <w:rPr>
          <w:lang w:val="en-GB"/>
        </w:rPr>
        <w:t>, as their whereabouts</w:t>
      </w:r>
      <w:r>
        <w:rPr>
          <w:lang w:val="en-GB"/>
        </w:rPr>
        <w:t xml:space="preserve"> remain unknown.</w:t>
      </w:r>
    </w:p>
    <w:p w:rsidR="00000000" w:rsidRDefault="00147B51">
      <w:pPr>
        <w:pStyle w:val="Default"/>
        <w:jc w:val="both"/>
        <w:rPr>
          <w:lang w:val="en-GB"/>
        </w:rPr>
      </w:pPr>
    </w:p>
    <w:p w:rsidR="00000000" w:rsidRDefault="00147B51">
      <w:pPr>
        <w:pStyle w:val="Default"/>
        <w:numPr>
          <w:ilvl w:val="0"/>
          <w:numId w:val="16"/>
        </w:numPr>
        <w:jc w:val="both"/>
        <w:rPr>
          <w:lang w:val="en-GB"/>
        </w:rPr>
      </w:pPr>
      <w:r>
        <w:rPr>
          <w:lang w:val="en-GB"/>
        </w:rPr>
        <w:t>The Panel also considers that this part of the complaints raises serious issues of fact and law, the determination of which should depend on an examination of the merits. The Panel concludes therefore that this part of the complaints is n</w:t>
      </w:r>
      <w:r>
        <w:rPr>
          <w:lang w:val="en-GB"/>
        </w:rPr>
        <w:t>ot manifestly ill-founded within the meaning of Section 3.3 of UNMIK Regulation No. 2006/12.</w:t>
      </w:r>
    </w:p>
    <w:p w:rsidR="00000000" w:rsidRDefault="00147B51">
      <w:pPr>
        <w:pStyle w:val="ListParagraph"/>
        <w:rPr>
          <w:lang w:eastAsia="en-US"/>
        </w:rPr>
      </w:pPr>
    </w:p>
    <w:p w:rsidR="00000000" w:rsidRDefault="00147B51">
      <w:pPr>
        <w:numPr>
          <w:ilvl w:val="0"/>
          <w:numId w:val="16"/>
        </w:numPr>
        <w:tabs>
          <w:tab w:val="left" w:pos="288"/>
        </w:tabs>
        <w:autoSpaceDE w:val="0"/>
        <w:autoSpaceDN w:val="0"/>
        <w:adjustRightInd w:val="0"/>
        <w:jc w:val="both"/>
        <w:rPr>
          <w:lang w:val="en-GB" w:eastAsia="en-US"/>
        </w:rPr>
      </w:pPr>
      <w:r>
        <w:rPr>
          <w:lang w:val="en-GB"/>
        </w:rPr>
        <w:t>No other ground for declaring this part of the complaint inadmissible has been established.</w:t>
      </w:r>
    </w:p>
    <w:p w:rsidR="00000000" w:rsidRDefault="00147B51">
      <w:pPr>
        <w:tabs>
          <w:tab w:val="left" w:pos="288"/>
        </w:tabs>
        <w:autoSpaceDE w:val="0"/>
        <w:autoSpaceDN w:val="0"/>
        <w:adjustRightInd w:val="0"/>
        <w:jc w:val="both"/>
        <w:rPr>
          <w:lang w:val="en-GB" w:eastAsia="en-US"/>
        </w:rPr>
      </w:pPr>
    </w:p>
    <w:p w:rsidR="00000000" w:rsidRDefault="00147B51">
      <w:pPr>
        <w:autoSpaceDE w:val="0"/>
        <w:autoSpaceDN w:val="0"/>
        <w:adjustRightInd w:val="0"/>
        <w:jc w:val="both"/>
        <w:rPr>
          <w:b/>
          <w:bCs/>
          <w:lang w:val="en-GB" w:eastAsia="en-US"/>
        </w:rPr>
      </w:pPr>
    </w:p>
    <w:p w:rsidR="00000000" w:rsidRDefault="00147B51">
      <w:pPr>
        <w:autoSpaceDE w:val="0"/>
        <w:autoSpaceDN w:val="0"/>
        <w:adjustRightInd w:val="0"/>
        <w:jc w:val="both"/>
        <w:rPr>
          <w:b/>
          <w:bCs/>
          <w:lang w:val="en-GB" w:eastAsia="en-US"/>
        </w:rPr>
      </w:pPr>
    </w:p>
    <w:p w:rsidR="00000000" w:rsidRDefault="00147B51">
      <w:pPr>
        <w:autoSpaceDE w:val="0"/>
        <w:autoSpaceDN w:val="0"/>
        <w:adjustRightInd w:val="0"/>
        <w:jc w:val="both"/>
        <w:rPr>
          <w:b/>
          <w:bCs/>
          <w:lang w:val="en-GB" w:eastAsia="en-US"/>
        </w:rPr>
      </w:pPr>
      <w:r>
        <w:rPr>
          <w:b/>
          <w:bCs/>
          <w:lang w:val="en-GB" w:eastAsia="en-US"/>
        </w:rPr>
        <w:t>FOR THESE REASONS,</w:t>
      </w:r>
    </w:p>
    <w:p w:rsidR="00000000" w:rsidRDefault="00147B51">
      <w:pPr>
        <w:autoSpaceDE w:val="0"/>
        <w:autoSpaceDN w:val="0"/>
        <w:adjustRightInd w:val="0"/>
        <w:jc w:val="both"/>
        <w:rPr>
          <w:lang w:val="en-GB" w:eastAsia="en-US"/>
        </w:rPr>
      </w:pPr>
    </w:p>
    <w:p w:rsidR="00000000" w:rsidRDefault="00147B51">
      <w:pPr>
        <w:autoSpaceDE w:val="0"/>
        <w:autoSpaceDN w:val="0"/>
        <w:adjustRightInd w:val="0"/>
        <w:jc w:val="both"/>
        <w:rPr>
          <w:lang w:val="en-GB" w:eastAsia="en-US"/>
        </w:rPr>
      </w:pPr>
      <w:r>
        <w:rPr>
          <w:lang w:val="en-GB" w:eastAsia="en-US"/>
        </w:rPr>
        <w:t>The Panel, unanimously,</w:t>
      </w:r>
    </w:p>
    <w:p w:rsidR="00000000" w:rsidRDefault="00147B51">
      <w:pPr>
        <w:autoSpaceDE w:val="0"/>
        <w:autoSpaceDN w:val="0"/>
        <w:adjustRightInd w:val="0"/>
        <w:jc w:val="both"/>
        <w:rPr>
          <w:bCs/>
          <w:lang w:val="en-GB" w:eastAsia="en-US"/>
        </w:rPr>
      </w:pPr>
    </w:p>
    <w:p w:rsidR="00000000" w:rsidRDefault="00147B51">
      <w:pPr>
        <w:autoSpaceDE w:val="0"/>
        <w:autoSpaceDN w:val="0"/>
        <w:adjustRightInd w:val="0"/>
        <w:jc w:val="both"/>
        <w:outlineLvl w:val="0"/>
        <w:rPr>
          <w:b/>
          <w:bCs/>
          <w:lang w:val="en-GB" w:eastAsia="en-US"/>
        </w:rPr>
      </w:pPr>
      <w:r>
        <w:rPr>
          <w:b/>
          <w:bCs/>
          <w:lang w:val="en-GB" w:eastAsia="en-US"/>
        </w:rPr>
        <w:t xml:space="preserve">- DECLARES ADMISSIBLE </w:t>
      </w:r>
      <w:r>
        <w:rPr>
          <w:b/>
          <w:bCs/>
          <w:lang w:val="en-GB" w:eastAsia="en-US"/>
        </w:rPr>
        <w:t>THE COMPLAINTS RELATING TO THE RIGHT TO LIFE;</w:t>
      </w:r>
    </w:p>
    <w:p w:rsidR="00000000" w:rsidRDefault="00147B51">
      <w:pPr>
        <w:autoSpaceDE w:val="0"/>
        <w:autoSpaceDN w:val="0"/>
        <w:adjustRightInd w:val="0"/>
        <w:jc w:val="both"/>
        <w:outlineLvl w:val="0"/>
        <w:rPr>
          <w:b/>
          <w:bCs/>
          <w:lang w:val="en-GB" w:eastAsia="en-US"/>
        </w:rPr>
      </w:pPr>
    </w:p>
    <w:p w:rsidR="00000000" w:rsidRDefault="00147B51">
      <w:pPr>
        <w:autoSpaceDE w:val="0"/>
        <w:jc w:val="both"/>
        <w:rPr>
          <w:b/>
          <w:bCs/>
          <w:lang w:val="en-GB" w:eastAsia="en-US"/>
        </w:rPr>
      </w:pPr>
      <w:r>
        <w:rPr>
          <w:b/>
          <w:lang w:val="en-GB"/>
        </w:rPr>
        <w:t xml:space="preserve">- DECLARES INADMISSIBLE THE COMPLAINT </w:t>
      </w:r>
      <w:r>
        <w:rPr>
          <w:b/>
          <w:bCs/>
          <w:lang w:val="en-GB" w:eastAsia="en-US"/>
        </w:rPr>
        <w:t>RELATING TO THE RIGHT TO BE FREE FROM INHUMAN ANDE DEGRADING TREATMENT WITH RESPECT TO</w:t>
      </w:r>
      <w:r>
        <w:rPr>
          <w:b/>
          <w:lang w:val="en-GB"/>
        </w:rPr>
        <w:t xml:space="preserve"> MR SREĆKO ĐEKIĆ (CASE NO. 256/09);</w:t>
      </w:r>
    </w:p>
    <w:p w:rsidR="00000000" w:rsidRDefault="00147B51">
      <w:pPr>
        <w:autoSpaceDE w:val="0"/>
        <w:autoSpaceDN w:val="0"/>
        <w:adjustRightInd w:val="0"/>
        <w:jc w:val="both"/>
        <w:outlineLvl w:val="0"/>
        <w:rPr>
          <w:b/>
          <w:bCs/>
          <w:lang w:val="en-GB" w:eastAsia="en-US"/>
        </w:rPr>
      </w:pPr>
    </w:p>
    <w:p w:rsidR="00000000" w:rsidRDefault="00147B51">
      <w:pPr>
        <w:autoSpaceDE w:val="0"/>
        <w:autoSpaceDN w:val="0"/>
        <w:adjustRightInd w:val="0"/>
        <w:jc w:val="both"/>
        <w:outlineLvl w:val="0"/>
        <w:rPr>
          <w:b/>
          <w:bCs/>
          <w:lang w:val="en-GB" w:eastAsia="en-US"/>
        </w:rPr>
      </w:pPr>
    </w:p>
    <w:p w:rsidR="00000000" w:rsidRDefault="00147B51">
      <w:pPr>
        <w:autoSpaceDE w:val="0"/>
        <w:jc w:val="both"/>
        <w:rPr>
          <w:b/>
          <w:lang w:val="en-GB"/>
        </w:rPr>
      </w:pPr>
      <w:r>
        <w:rPr>
          <w:b/>
          <w:bCs/>
          <w:lang w:val="en-GB" w:eastAsia="en-US"/>
        </w:rPr>
        <w:t>- DECLARES ADMISSIBLE THE COMPLAINTS RELATING T</w:t>
      </w:r>
      <w:r>
        <w:rPr>
          <w:b/>
          <w:bCs/>
          <w:lang w:val="en-GB" w:eastAsia="en-US"/>
        </w:rPr>
        <w:t>O THE RI</w:t>
      </w:r>
      <w:r w:rsidR="00E1343C">
        <w:rPr>
          <w:b/>
          <w:bCs/>
          <w:lang w:val="en-GB" w:eastAsia="en-US"/>
        </w:rPr>
        <w:t>GHT TO BE FREE FROM INHUMAN AND</w:t>
      </w:r>
      <w:r>
        <w:rPr>
          <w:b/>
          <w:bCs/>
          <w:lang w:val="en-GB" w:eastAsia="en-US"/>
        </w:rPr>
        <w:t xml:space="preserve"> DEGRADING TREATMENT WITH RESPECT TO</w:t>
      </w:r>
      <w:r>
        <w:rPr>
          <w:b/>
          <w:lang w:val="en-GB"/>
        </w:rPr>
        <w:t xml:space="preserve"> MRS DRAGA ĐUKIĆ (CASE NO. 68/09), MRS VASILJKA NIKOLIĆ (CASE NO. 83/09), MR JEVTA SPASIĆ (CASE NO. 235/09) AND MRS BOSILJKA SPASIĆ (CASE NO. 236/09).</w:t>
      </w:r>
    </w:p>
    <w:p w:rsidR="00000000" w:rsidRDefault="00147B51">
      <w:pPr>
        <w:pStyle w:val="JuPara"/>
        <w:ind w:firstLine="0"/>
        <w:rPr>
          <w:szCs w:val="24"/>
          <w:lang w:eastAsia="nl-NL"/>
        </w:rPr>
      </w:pPr>
    </w:p>
    <w:p w:rsidR="00000000" w:rsidRDefault="00147B51">
      <w:pPr>
        <w:autoSpaceDE w:val="0"/>
        <w:autoSpaceDN w:val="0"/>
        <w:adjustRightInd w:val="0"/>
        <w:jc w:val="both"/>
        <w:rPr>
          <w:b/>
          <w:bCs/>
          <w:lang w:val="en-GB" w:eastAsia="en-US"/>
        </w:rPr>
      </w:pPr>
    </w:p>
    <w:p w:rsidR="00000000" w:rsidRDefault="00147B51">
      <w:pPr>
        <w:autoSpaceDE w:val="0"/>
        <w:autoSpaceDN w:val="0"/>
        <w:adjustRightInd w:val="0"/>
        <w:jc w:val="both"/>
        <w:rPr>
          <w:lang w:val="en-GB"/>
        </w:rPr>
      </w:pPr>
    </w:p>
    <w:p w:rsidR="00000000" w:rsidRDefault="00147B51">
      <w:pPr>
        <w:autoSpaceDE w:val="0"/>
        <w:autoSpaceDN w:val="0"/>
        <w:adjustRightInd w:val="0"/>
        <w:jc w:val="both"/>
        <w:rPr>
          <w:lang w:val="en-GB"/>
        </w:rPr>
      </w:pPr>
    </w:p>
    <w:p w:rsidR="00000000" w:rsidRDefault="00147B51">
      <w:pPr>
        <w:autoSpaceDE w:val="0"/>
        <w:autoSpaceDN w:val="0"/>
        <w:adjustRightInd w:val="0"/>
        <w:jc w:val="both"/>
        <w:rPr>
          <w:lang w:val="en-GB"/>
        </w:rPr>
      </w:pPr>
    </w:p>
    <w:p w:rsidR="00000000" w:rsidRDefault="00147B51">
      <w:pPr>
        <w:autoSpaceDE w:val="0"/>
        <w:autoSpaceDN w:val="0"/>
        <w:adjustRightInd w:val="0"/>
        <w:jc w:val="both"/>
        <w:rPr>
          <w:lang w:val="en-GB"/>
        </w:rPr>
      </w:pPr>
    </w:p>
    <w:p w:rsidR="00000000" w:rsidRDefault="00147B51">
      <w:pPr>
        <w:autoSpaceDE w:val="0"/>
        <w:autoSpaceDN w:val="0"/>
        <w:adjustRightInd w:val="0"/>
        <w:jc w:val="both"/>
        <w:rPr>
          <w:lang w:val="en-GB" w:eastAsia="en-US"/>
        </w:rPr>
      </w:pPr>
      <w:r>
        <w:rPr>
          <w:lang w:val="en-GB"/>
        </w:rPr>
        <w:t>Andrey ANTONOV</w:t>
      </w:r>
      <w:r>
        <w:rPr>
          <w:lang w:val="en-GB"/>
        </w:rPr>
        <w:tab/>
      </w:r>
      <w:r>
        <w:rPr>
          <w:lang w:val="en-GB" w:eastAsia="en-US"/>
        </w:rPr>
        <w:tab/>
      </w:r>
      <w:r>
        <w:rPr>
          <w:lang w:val="en-GB" w:eastAsia="en-US"/>
        </w:rPr>
        <w:tab/>
      </w:r>
      <w:r>
        <w:rPr>
          <w:lang w:val="en-GB" w:eastAsia="en-US"/>
        </w:rPr>
        <w:tab/>
      </w:r>
      <w:r>
        <w:rPr>
          <w:lang w:val="en-GB" w:eastAsia="en-US"/>
        </w:rPr>
        <w:tab/>
      </w:r>
      <w:r>
        <w:rPr>
          <w:lang w:val="en-GB" w:eastAsia="en-US"/>
        </w:rPr>
        <w:tab/>
      </w:r>
      <w:r>
        <w:rPr>
          <w:lang w:val="en-GB" w:eastAsia="en-US"/>
        </w:rPr>
        <w:tab/>
      </w:r>
      <w:r>
        <w:rPr>
          <w:lang w:val="en-GB" w:eastAsia="en-US"/>
        </w:rPr>
        <w:tab/>
      </w:r>
      <w:r>
        <w:rPr>
          <w:lang w:val="en-GB"/>
        </w:rPr>
        <w:t>M</w:t>
      </w:r>
      <w:r>
        <w:rPr>
          <w:lang w:val="en-GB"/>
        </w:rPr>
        <w:t>arek NOWICKI</w:t>
      </w:r>
    </w:p>
    <w:p w:rsidR="00147B51" w:rsidRDefault="00147B51">
      <w:pPr>
        <w:autoSpaceDE w:val="0"/>
        <w:autoSpaceDN w:val="0"/>
        <w:adjustRightInd w:val="0"/>
        <w:jc w:val="both"/>
        <w:rPr>
          <w:lang w:val="en-GB" w:eastAsia="en-US"/>
        </w:rPr>
      </w:pPr>
      <w:r>
        <w:rPr>
          <w:lang w:val="en-GB" w:eastAsia="en-US"/>
        </w:rPr>
        <w:t>Executive Officer</w:t>
      </w:r>
      <w:r>
        <w:rPr>
          <w:lang w:val="en-GB" w:eastAsia="en-US"/>
        </w:rPr>
        <w:tab/>
      </w:r>
      <w:r>
        <w:rPr>
          <w:lang w:val="en-GB" w:eastAsia="en-US"/>
        </w:rPr>
        <w:tab/>
      </w:r>
      <w:r>
        <w:rPr>
          <w:lang w:val="en-GB" w:eastAsia="en-US"/>
        </w:rPr>
        <w:tab/>
      </w:r>
      <w:r>
        <w:rPr>
          <w:lang w:val="en-GB" w:eastAsia="en-US"/>
        </w:rPr>
        <w:tab/>
      </w:r>
      <w:r>
        <w:rPr>
          <w:lang w:val="en-GB" w:eastAsia="en-US"/>
        </w:rPr>
        <w:tab/>
      </w:r>
      <w:r>
        <w:rPr>
          <w:lang w:val="en-GB" w:eastAsia="en-US"/>
        </w:rPr>
        <w:tab/>
      </w:r>
      <w:r>
        <w:rPr>
          <w:lang w:val="en-GB" w:eastAsia="en-US"/>
        </w:rPr>
        <w:tab/>
      </w:r>
      <w:r>
        <w:rPr>
          <w:lang w:val="en-GB" w:eastAsia="en-US"/>
        </w:rPr>
        <w:tab/>
        <w:t xml:space="preserve">Presiding Member </w:t>
      </w:r>
    </w:p>
    <w:sectPr w:rsidR="00147B51">
      <w:headerReference w:type="even" r:id="rId8"/>
      <w:headerReference w:type="default" r:id="rId9"/>
      <w:pgSz w:w="11906" w:h="16838"/>
      <w:pgMar w:top="1170" w:right="1417" w:bottom="99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B51" w:rsidRDefault="00147B51">
      <w:r>
        <w:separator/>
      </w:r>
    </w:p>
  </w:endnote>
  <w:endnote w:type="continuationSeparator" w:id="0">
    <w:p w:rsidR="00147B51" w:rsidRDefault="00147B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B51" w:rsidRDefault="00147B51">
      <w:r>
        <w:separator/>
      </w:r>
    </w:p>
  </w:footnote>
  <w:footnote w:type="continuationSeparator" w:id="0">
    <w:p w:rsidR="00147B51" w:rsidRDefault="00147B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7B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147B5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7B51">
    <w:pPr>
      <w:pStyle w:val="Header"/>
      <w:framePr w:wrap="around" w:vAnchor="text" w:hAnchor="margin" w:xAlign="right" w:y="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sidR="003039E2">
      <w:rPr>
        <w:rStyle w:val="PageNumber"/>
        <w:noProof/>
        <w:sz w:val="22"/>
        <w:szCs w:val="22"/>
      </w:rPr>
      <w:t>2</w:t>
    </w:r>
    <w:r>
      <w:rPr>
        <w:rStyle w:val="PageNumber"/>
        <w:sz w:val="22"/>
        <w:szCs w:val="22"/>
      </w:rPr>
      <w:fldChar w:fldCharType="end"/>
    </w:r>
  </w:p>
  <w:p w:rsidR="00000000" w:rsidRDefault="00147B51">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B6706B"/>
    <w:multiLevelType w:val="multilevel"/>
    <w:tmpl w:val="9B767108"/>
    <w:lvl w:ilvl="0">
      <w:start w:val="1"/>
      <w:numFmt w:val="decimal"/>
      <w:lvlText w:val="%1."/>
      <w:lvlJc w:val="left"/>
      <w:pPr>
        <w:tabs>
          <w:tab w:val="num" w:pos="567"/>
        </w:tabs>
        <w:ind w:left="0" w:firstLine="0"/>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2F118C"/>
    <w:multiLevelType w:val="multilevel"/>
    <w:tmpl w:val="AD9006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C183272"/>
    <w:multiLevelType w:val="hybridMultilevel"/>
    <w:tmpl w:val="1E308D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01204E"/>
    <w:multiLevelType w:val="hybridMultilevel"/>
    <w:tmpl w:val="63702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CA2269"/>
    <w:multiLevelType w:val="hybridMultilevel"/>
    <w:tmpl w:val="AFF86F7E"/>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124A4F06"/>
    <w:multiLevelType w:val="hybridMultilevel"/>
    <w:tmpl w:val="06E0372A"/>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128D7040"/>
    <w:multiLevelType w:val="multilevel"/>
    <w:tmpl w:val="C3C8611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3D87167"/>
    <w:multiLevelType w:val="hybridMultilevel"/>
    <w:tmpl w:val="0E3A4434"/>
    <w:lvl w:ilvl="0" w:tplc="D3F86CB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151A389E"/>
    <w:multiLevelType w:val="multilevel"/>
    <w:tmpl w:val="33A80C9E"/>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C8558BE"/>
    <w:multiLevelType w:val="hybridMultilevel"/>
    <w:tmpl w:val="E78EBC48"/>
    <w:lvl w:ilvl="0" w:tplc="1554B9AC">
      <w:start w:val="1"/>
      <w:numFmt w:val="lowerLetter"/>
      <w:lvlText w:val="(%1)"/>
      <w:lvlJc w:val="left"/>
      <w:pPr>
        <w:tabs>
          <w:tab w:val="num" w:pos="720"/>
        </w:tabs>
        <w:ind w:left="720" w:hanging="360"/>
      </w:pPr>
      <w:rPr>
        <w:rFonts w:ascii="Times New Roman" w:eastAsia="Times New Roman" w:hAnsi="Times New Roman" w:cs="Times New Roman"/>
      </w:rPr>
    </w:lvl>
    <w:lvl w:ilvl="1" w:tplc="9FF28FEA">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5D2D79"/>
    <w:multiLevelType w:val="hybridMultilevel"/>
    <w:tmpl w:val="9D822598"/>
    <w:lvl w:ilvl="0" w:tplc="A726D7A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B57B5F"/>
    <w:multiLevelType w:val="hybridMultilevel"/>
    <w:tmpl w:val="CE343166"/>
    <w:lvl w:ilvl="0" w:tplc="00D41D9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2B371937"/>
    <w:multiLevelType w:val="hybridMultilevel"/>
    <w:tmpl w:val="9B767108"/>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2E151B96"/>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41F43FD"/>
    <w:multiLevelType w:val="hybridMultilevel"/>
    <w:tmpl w:val="0810A8E8"/>
    <w:lvl w:ilvl="0" w:tplc="64A68CF4">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3841526C"/>
    <w:multiLevelType w:val="hybridMultilevel"/>
    <w:tmpl w:val="4954B138"/>
    <w:lvl w:ilvl="0" w:tplc="57AA6E0C">
      <w:start w:val="1"/>
      <w:numFmt w:val="decimal"/>
      <w:lvlText w:val="%1."/>
      <w:lvlJc w:val="left"/>
      <w:pPr>
        <w:tabs>
          <w:tab w:val="num" w:pos="360"/>
        </w:tabs>
        <w:ind w:left="360" w:hanging="360"/>
      </w:pPr>
      <w:rPr>
        <w:rFonts w:ascii="Times New Roman" w:hAnsi="Times New Roman" w:cs="Times New Roman" w:hint="default"/>
        <w:b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91A54AA"/>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94D7D96"/>
    <w:multiLevelType w:val="multilevel"/>
    <w:tmpl w:val="8F149246"/>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81757E"/>
    <w:multiLevelType w:val="hybridMultilevel"/>
    <w:tmpl w:val="0290B7F0"/>
    <w:lvl w:ilvl="0" w:tplc="FBF0D05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D621457"/>
    <w:multiLevelType w:val="multilevel"/>
    <w:tmpl w:val="257C637C"/>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D745AF5"/>
    <w:multiLevelType w:val="hybridMultilevel"/>
    <w:tmpl w:val="1A964E82"/>
    <w:lvl w:ilvl="0" w:tplc="FB605D2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17D2912"/>
    <w:multiLevelType w:val="hybridMultilevel"/>
    <w:tmpl w:val="9BB053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459C3EA3"/>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63A6284"/>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97B3037"/>
    <w:multiLevelType w:val="hybridMultilevel"/>
    <w:tmpl w:val="D076E474"/>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nsid w:val="4C150EFC"/>
    <w:multiLevelType w:val="hybridMultilevel"/>
    <w:tmpl w:val="C9BA91C0"/>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nsid w:val="4C4D74F7"/>
    <w:multiLevelType w:val="hybridMultilevel"/>
    <w:tmpl w:val="90D8470A"/>
    <w:lvl w:ilvl="0" w:tplc="92D23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FEC4FAD"/>
    <w:multiLevelType w:val="hybridMultilevel"/>
    <w:tmpl w:val="AD90064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1560689"/>
    <w:multiLevelType w:val="hybridMultilevel"/>
    <w:tmpl w:val="B590DE10"/>
    <w:lvl w:ilvl="0" w:tplc="714C00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781473A"/>
    <w:multiLevelType w:val="hybridMultilevel"/>
    <w:tmpl w:val="AA002EA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79E7F43"/>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579F3624"/>
    <w:multiLevelType w:val="hybridMultilevel"/>
    <w:tmpl w:val="EA7E921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BA8131D"/>
    <w:multiLevelType w:val="hybridMultilevel"/>
    <w:tmpl w:val="BEDE0040"/>
    <w:lvl w:ilvl="0" w:tplc="24C01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C8237E2"/>
    <w:multiLevelType w:val="multilevel"/>
    <w:tmpl w:val="1264C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632550DC"/>
    <w:multiLevelType w:val="hybridMultilevel"/>
    <w:tmpl w:val="A950DB66"/>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1">
    <w:nsid w:val="6C5C5454"/>
    <w:multiLevelType w:val="hybridMultilevel"/>
    <w:tmpl w:val="6186E004"/>
    <w:lvl w:ilvl="0" w:tplc="0409000F">
      <w:start w:val="1"/>
      <w:numFmt w:val="decimal"/>
      <w:lvlText w:val="%1."/>
      <w:lvlJc w:val="left"/>
      <w:pPr>
        <w:ind w:left="630" w:hanging="360"/>
      </w:pPr>
      <w:rPr>
        <w:rFonts w:hint="default"/>
        <w:b w:val="0"/>
      </w:rPr>
    </w:lvl>
    <w:lvl w:ilvl="1" w:tplc="11F2BDEC">
      <w:start w:val="3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0D61E48"/>
    <w:multiLevelType w:val="multilevel"/>
    <w:tmpl w:val="C9BA91C0"/>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5BF6D08"/>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9F9177F"/>
    <w:multiLevelType w:val="hybridMultilevel"/>
    <w:tmpl w:val="DDCA27EC"/>
    <w:lvl w:ilvl="0" w:tplc="0409000F">
      <w:start w:val="2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BC92BD6"/>
    <w:multiLevelType w:val="hybridMultilevel"/>
    <w:tmpl w:val="C7467C6A"/>
    <w:lvl w:ilvl="0" w:tplc="9C307F2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6"/>
  </w:num>
  <w:num w:numId="2">
    <w:abstractNumId w:val="11"/>
  </w:num>
  <w:num w:numId="3">
    <w:abstractNumId w:val="29"/>
  </w:num>
  <w:num w:numId="4">
    <w:abstractNumId w:val="30"/>
  </w:num>
  <w:num w:numId="5">
    <w:abstractNumId w:val="40"/>
  </w:num>
  <w:num w:numId="6">
    <w:abstractNumId w:val="5"/>
  </w:num>
  <w:num w:numId="7">
    <w:abstractNumId w:val="42"/>
  </w:num>
  <w:num w:numId="8">
    <w:abstractNumId w:val="23"/>
  </w:num>
  <w:num w:numId="9">
    <w:abstractNumId w:val="8"/>
  </w:num>
  <w:num w:numId="10">
    <w:abstractNumId w:val="45"/>
  </w:num>
  <w:num w:numId="11">
    <w:abstractNumId w:val="13"/>
  </w:num>
  <w:num w:numId="12">
    <w:abstractNumId w:val="17"/>
  </w:num>
  <w:num w:numId="13">
    <w:abstractNumId w:val="33"/>
  </w:num>
  <w:num w:numId="14">
    <w:abstractNumId w:val="34"/>
  </w:num>
  <w:num w:numId="15">
    <w:abstractNumId w:val="25"/>
  </w:num>
  <w:num w:numId="16">
    <w:abstractNumId w:val="18"/>
  </w:num>
  <w:num w:numId="17">
    <w:abstractNumId w:val="12"/>
  </w:num>
  <w:num w:numId="18">
    <w:abstractNumId w:val="7"/>
  </w:num>
  <w:num w:numId="19">
    <w:abstractNumId w:val="22"/>
  </w:num>
  <w:num w:numId="20">
    <w:abstractNumId w:val="15"/>
  </w:num>
  <w:num w:numId="21">
    <w:abstractNumId w:val="27"/>
  </w:num>
  <w:num w:numId="22">
    <w:abstractNumId w:val="28"/>
  </w:num>
  <w:num w:numId="23">
    <w:abstractNumId w:val="43"/>
  </w:num>
  <w:num w:numId="24">
    <w:abstractNumId w:val="20"/>
  </w:num>
  <w:num w:numId="25">
    <w:abstractNumId w:val="0"/>
  </w:num>
  <w:num w:numId="26">
    <w:abstractNumId w:val="36"/>
  </w:num>
  <w:num w:numId="27">
    <w:abstractNumId w:val="19"/>
  </w:num>
  <w:num w:numId="28">
    <w:abstractNumId w:val="14"/>
  </w:num>
  <w:num w:numId="29">
    <w:abstractNumId w:val="1"/>
  </w:num>
  <w:num w:numId="30">
    <w:abstractNumId w:val="26"/>
  </w:num>
  <w:num w:numId="31">
    <w:abstractNumId w:val="24"/>
  </w:num>
  <w:num w:numId="32">
    <w:abstractNumId w:val="16"/>
  </w:num>
  <w:num w:numId="33">
    <w:abstractNumId w:val="9"/>
  </w:num>
  <w:num w:numId="34">
    <w:abstractNumId w:val="32"/>
  </w:num>
  <w:num w:numId="35">
    <w:abstractNumId w:val="2"/>
  </w:num>
  <w:num w:numId="36">
    <w:abstractNumId w:val="31"/>
  </w:num>
  <w:num w:numId="37">
    <w:abstractNumId w:val="38"/>
  </w:num>
  <w:num w:numId="38">
    <w:abstractNumId w:val="37"/>
  </w:num>
  <w:num w:numId="39">
    <w:abstractNumId w:val="21"/>
  </w:num>
  <w:num w:numId="40">
    <w:abstractNumId w:val="41"/>
  </w:num>
  <w:num w:numId="41">
    <w:abstractNumId w:val="44"/>
  </w:num>
  <w:num w:numId="42">
    <w:abstractNumId w:val="10"/>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3"/>
  </w:num>
  <w:num w:numId="4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BE1552"/>
    <w:rsid w:val="00147B51"/>
    <w:rsid w:val="003039E2"/>
    <w:rsid w:val="00947891"/>
    <w:rsid w:val="00BE1552"/>
    <w:rsid w:val="00E1343C"/>
    <w:rsid w:val="00F01C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nl-NL" w:eastAsia="nl-NL"/>
    </w:rPr>
  </w:style>
  <w:style w:type="paragraph" w:styleId="Heading2">
    <w:name w:val="heading 2"/>
    <w:basedOn w:val="Normal"/>
    <w:next w:val="Normal"/>
    <w:qFormat/>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qFormat/>
    <w:pPr>
      <w:keepNext/>
      <w:suppressAutoHyphens/>
      <w:spacing w:before="240" w:after="60"/>
      <w:outlineLvl w:val="2"/>
    </w:pPr>
    <w:rPr>
      <w:rFonts w:ascii="Arial" w:hAnsi="Arial" w:cs="Arial"/>
      <w:b/>
      <w:bCs/>
      <w:sz w:val="26"/>
      <w:szCs w:val="26"/>
      <w:lang w:val="en-US" w:eastAsia="ar-SA"/>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pPr>
      <w:suppressAutoHyphens/>
      <w:ind w:firstLine="284"/>
      <w:jc w:val="both"/>
    </w:pPr>
    <w:rPr>
      <w:szCs w:val="20"/>
      <w:lang w:val="en-GB" w:eastAsia="fr-FR"/>
    </w:rPr>
  </w:style>
  <w:style w:type="character" w:customStyle="1" w:styleId="JuParaChar1">
    <w:name w:val="Ju_Para Char1"/>
    <w:link w:val="JuPara"/>
    <w:rPr>
      <w:sz w:val="24"/>
      <w:lang w:val="en-GB" w:eastAsia="fr-FR" w:bidi="ar-SA"/>
    </w:rPr>
  </w:style>
  <w:style w:type="character" w:customStyle="1" w:styleId="ju-005fpara--char">
    <w:name w:val="ju-005fpara--char"/>
    <w:basedOn w:val="DefaultParagraphFont"/>
  </w:style>
  <w:style w:type="paragraph" w:customStyle="1" w:styleId="ju-005fpara">
    <w:name w:val="ju-005fpara"/>
    <w:basedOn w:val="Normal"/>
    <w:pPr>
      <w:spacing w:before="100" w:beforeAutospacing="1" w:after="100" w:afterAutospacing="1"/>
    </w:pPr>
  </w:style>
  <w:style w:type="paragraph" w:styleId="FootnoteText">
    <w:name w:val="footnote text"/>
    <w:basedOn w:val="Normal"/>
    <w:link w:val="FootnoteTextChar"/>
    <w:semiHidden/>
    <w:rPr>
      <w:sz w:val="20"/>
      <w:szCs w:val="20"/>
      <w:lang w:val="en-GB" w:eastAsia="en-GB"/>
    </w:rPr>
  </w:style>
  <w:style w:type="character" w:styleId="FootnoteReference">
    <w:name w:val="footnote reference"/>
    <w:semiHidden/>
    <w:rPr>
      <w:vertAlign w:val="superscript"/>
    </w:rPr>
  </w:style>
  <w:style w:type="paragraph" w:customStyle="1" w:styleId="normal0">
    <w:name w:val="normal"/>
    <w:basedOn w:val="Normal"/>
    <w:pPr>
      <w:spacing w:before="100" w:beforeAutospacing="1" w:after="100" w:afterAutospacing="1"/>
    </w:pPr>
    <w:rPr>
      <w:lang w:val="en-US" w:eastAsia="en-US"/>
    </w:rPr>
  </w:style>
  <w:style w:type="character" w:customStyle="1" w:styleId="ju--005fpara----char--char">
    <w:name w:val="ju--005fpara----char--char"/>
    <w:basedOn w:val="DefaultParagraphFont"/>
  </w:style>
  <w:style w:type="character" w:customStyle="1" w:styleId="JuParaChar2">
    <w:name w:val="Ju_Para Char2"/>
    <w:rPr>
      <w:sz w:val="24"/>
      <w:lang w:val="en-GB" w:eastAsia="fr-FR" w:bidi="ar-SA"/>
    </w:rPr>
  </w:style>
  <w:style w:type="character" w:customStyle="1" w:styleId="JuParaChar">
    <w:name w:val="Ju_Para Char"/>
    <w:rPr>
      <w:sz w:val="24"/>
      <w:lang w:val="en-GB" w:eastAsia="fr-FR" w:bidi="ar-SA"/>
    </w:rPr>
  </w:style>
  <w:style w:type="character" w:customStyle="1" w:styleId="ju-005fpara-0020char--char">
    <w:name w:val="ju-005fpara-0020char--cha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paragraph" w:customStyle="1" w:styleId="Default">
    <w:name w:val="Default"/>
    <w:pPr>
      <w:autoSpaceDE w:val="0"/>
      <w:autoSpaceDN w:val="0"/>
      <w:adjustRightInd w:val="0"/>
    </w:pPr>
    <w:rPr>
      <w:color w:val="000000"/>
      <w:sz w:val="24"/>
      <w:szCs w:val="24"/>
      <w:lang w:val="nl-NL" w:eastAsia="nl-NL"/>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pPr>
      <w:ind w:left="720"/>
    </w:pPr>
    <w:rPr>
      <w:lang w:val="en-GB" w:eastAsia="en-GB"/>
    </w:rPr>
  </w:style>
  <w:style w:type="character" w:customStyle="1" w:styleId="normal--char">
    <w:name w:val="normal--char"/>
    <w:basedOn w:val="DefaultParagraphFont"/>
  </w:style>
  <w:style w:type="character" w:customStyle="1" w:styleId="apple-style-span">
    <w:name w:val="apple-style-span"/>
    <w:basedOn w:val="DefaultParagraphFont"/>
  </w:style>
  <w:style w:type="paragraph" w:styleId="BodyText">
    <w:name w:val="Body Text"/>
    <w:basedOn w:val="Normal"/>
    <w:link w:val="BodyTextChar"/>
    <w:pPr>
      <w:ind w:right="-2"/>
    </w:pPr>
    <w:rPr>
      <w:sz w:val="20"/>
      <w:szCs w:val="20"/>
      <w:lang w:val="en-US" w:eastAsia="en-US"/>
    </w:rPr>
  </w:style>
  <w:style w:type="character" w:customStyle="1" w:styleId="BodyTextChar">
    <w:name w:val="Body Text Char"/>
    <w:basedOn w:val="DefaultParagraphFont"/>
    <w:link w:val="BodyText"/>
  </w:style>
  <w:style w:type="character" w:customStyle="1" w:styleId="CommentTextChar">
    <w:name w:val="Comment Text Char"/>
    <w:link w:val="CommentText"/>
    <w:semiHidden/>
    <w:rPr>
      <w:lang w:val="nl-NL" w:eastAsia="nl-NL"/>
    </w:rPr>
  </w:style>
  <w:style w:type="character" w:customStyle="1" w:styleId="FootnoteTextChar">
    <w:name w:val="Footnote Text Char"/>
    <w:basedOn w:val="DefaultParagraphFont"/>
    <w:link w:val="FootnoteText"/>
    <w:semiHidden/>
    <w:locked/>
    <w:rPr>
      <w:lang w:val="en-GB" w:eastAsia="en-GB" w:bidi="ar-SA"/>
    </w:rPr>
  </w:style>
</w:styles>
</file>

<file path=word/webSettings.xml><?xml version="1.0" encoding="utf-8"?>
<w:webSettings xmlns:r="http://schemas.openxmlformats.org/officeDocument/2006/relationships" xmlns:w="http://schemas.openxmlformats.org/wordprocessingml/2006/main">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551884602">
      <w:bodyDiv w:val="1"/>
      <w:marLeft w:val="0"/>
      <w:marRight w:val="0"/>
      <w:marTop w:val="0"/>
      <w:marBottom w:val="0"/>
      <w:divBdr>
        <w:top w:val="none" w:sz="0" w:space="0" w:color="auto"/>
        <w:left w:val="none" w:sz="0" w:space="0" w:color="auto"/>
        <w:bottom w:val="none" w:sz="0" w:space="0" w:color="auto"/>
        <w:right w:val="none" w:sz="0" w:space="0" w:color="auto"/>
      </w:divBdr>
    </w:div>
    <w:div w:id="615913572">
      <w:bodyDiv w:val="1"/>
      <w:marLeft w:val="0"/>
      <w:marRight w:val="0"/>
      <w:marTop w:val="0"/>
      <w:marBottom w:val="0"/>
      <w:divBdr>
        <w:top w:val="none" w:sz="0" w:space="0" w:color="auto"/>
        <w:left w:val="none" w:sz="0" w:space="0" w:color="auto"/>
        <w:bottom w:val="none" w:sz="0" w:space="0" w:color="auto"/>
        <w:right w:val="none" w:sz="0" w:space="0" w:color="auto"/>
      </w:divBdr>
      <w:divsChild>
        <w:div w:id="862204926">
          <w:marLeft w:val="0"/>
          <w:marRight w:val="0"/>
          <w:marTop w:val="0"/>
          <w:marBottom w:val="0"/>
          <w:divBdr>
            <w:top w:val="none" w:sz="0" w:space="0" w:color="auto"/>
            <w:left w:val="none" w:sz="0" w:space="0" w:color="auto"/>
            <w:bottom w:val="none" w:sz="0" w:space="0" w:color="auto"/>
            <w:right w:val="none" w:sz="0" w:space="0" w:color="auto"/>
          </w:divBdr>
          <w:divsChild>
            <w:div w:id="1052731083">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 w:id="691302683">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005402434">
      <w:bodyDiv w:val="1"/>
      <w:marLeft w:val="0"/>
      <w:marRight w:val="0"/>
      <w:marTop w:val="0"/>
      <w:marBottom w:val="0"/>
      <w:divBdr>
        <w:top w:val="none" w:sz="0" w:space="0" w:color="auto"/>
        <w:left w:val="none" w:sz="0" w:space="0" w:color="auto"/>
        <w:bottom w:val="none" w:sz="0" w:space="0" w:color="auto"/>
        <w:right w:val="none" w:sz="0" w:space="0" w:color="auto"/>
      </w:divBdr>
    </w:div>
    <w:div w:id="1147625413">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 xmlns="16f2acb5-7363-4076-9084-069fc3bb4325">SPASIĆ, Dimitrije</Reference>
    <Case_x0020_Year xmlns="63130c8a-8d1f-4e28-8ee3-43603ca9ef3b">2009</Case_x0020_Year>
    <Case_x0020_Status xmlns="16f2acb5-7363-4076-9084-069fc3bb4325">CASE PENDING</Case_x0020_Status>
    <Date_x0020_of_x0020_Adoption xmlns="16f2acb5-7363-4076-9084-069fc3bb4325">2012-08-16T22:00:00+00:00</Date_x0020_of_x0020_Adoption>
    <Case_x0020_Number xmlns="16f2acb5-7363-4076-9084-069fc3bb4325">236/09</Case_x0020_Number>
    <Type_x0020_of_x0020_Document xmlns="16f2acb5-7363-4076-9084-069fc3bb4325">Decision - Admissible</Type_x0020_of_x0020_Document>
    <_dlc_DocId xmlns="b9fab99d-1571-47f6-8995-3a195ef041f8">M5JDUUKXSQ5W-25-579</_dlc_DocId>
    <_dlc_DocIdUrl xmlns="b9fab99d-1571-47f6-8995-3a195ef041f8">
      <Url>http://prod.unmikonline.org/hrap/Eng/_layouts/DocIdRedir.aspx?ID=M5JDUUKXSQ5W-25-579</Url>
      <Description>M5JDUUKXSQ5W-25-579</Description>
    </_dlc_DocIdUrl>
    <_dlc_DocIdPersistId xmlns="b9fab99d-1571-47f6-8995-3a195ef041f8">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75B3BE-AE7E-40A7-989E-2E67DDF3009E}"/>
</file>

<file path=customXml/itemProps2.xml><?xml version="1.0" encoding="utf-8"?>
<ds:datastoreItem xmlns:ds="http://schemas.openxmlformats.org/officeDocument/2006/customXml" ds:itemID="{3CABFCE8-1158-4838-BA35-DAC61FFAF038}"/>
</file>

<file path=customXml/itemProps3.xml><?xml version="1.0" encoding="utf-8"?>
<ds:datastoreItem xmlns:ds="http://schemas.openxmlformats.org/officeDocument/2006/customXml" ds:itemID="{0B4E3823-C6C2-4430-81ED-F6A55BED18C6}"/>
</file>

<file path=customXml/itemProps4.xml><?xml version="1.0" encoding="utf-8"?>
<ds:datastoreItem xmlns:ds="http://schemas.openxmlformats.org/officeDocument/2006/customXml" ds:itemID="{AB6DD4C7-5A22-4692-AD85-1DAC73A9D6A9}"/>
</file>

<file path=docProps/app.xml><?xml version="1.0" encoding="utf-8"?>
<Properties xmlns="http://schemas.openxmlformats.org/officeDocument/2006/extended-properties" xmlns:vt="http://schemas.openxmlformats.org/officeDocument/2006/docPropsVTypes">
  <Template>Normal</Template>
  <TotalTime>6</TotalTime>
  <Pages>6</Pages>
  <Words>2057</Words>
  <Characters>11731</Characters>
  <Application>Microsoft Office Word</Application>
  <DocSecurity>0</DocSecurity>
  <Lines>97</Lines>
  <Paragraphs>27</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Case No</vt:lpstr>
      <vt:lpstr/>
      <vt:lpstr/>
      <vt:lpstr>III. THE COMPLAINTS</vt:lpstr>
      <vt:lpstr/>
      <vt:lpstr>IV. THE LAW</vt:lpstr>
      <vt:lpstr>- DECLARES ADMISSIBLE THE COMPLAINTS RELATING TO THE RIGHT TO LIFE;</vt:lpstr>
      <vt:lpstr/>
      <vt:lpstr/>
      <vt:lpstr/>
    </vt:vector>
  </TitlesOfParts>
  <Company>K.U.Leuven</Company>
  <LinksUpToDate>false</LinksUpToDate>
  <CharactersWithSpaces>13761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Paul Lemmens</dc:creator>
  <cp:lastModifiedBy>bgardner</cp:lastModifiedBy>
  <cp:revision>2</cp:revision>
  <cp:lastPrinted>2012-10-01T13:21:00Z</cp:lastPrinted>
  <dcterms:created xsi:type="dcterms:W3CDTF">2012-10-01T13:49:00Z</dcterms:created>
  <dcterms:modified xsi:type="dcterms:W3CDTF">2012-10-01T13:49:00Z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acebf6f3-1d9f-4a1c-9b88-64174baa3dfa</vt:lpwstr>
  </property>
  <property fmtid="{D5CDD505-2E9C-101B-9397-08002B2CF9AE}" pid="4" name="TemplateUrl">
    <vt:lpwstr/>
  </property>
  <property fmtid="{D5CDD505-2E9C-101B-9397-08002B2CF9AE}" pid="5" name="Order">
    <vt:r8>57900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